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30CC" w14:textId="64070EC0" w:rsidR="00641054" w:rsidRDefault="00693B16">
      <w:pPr>
        <w:autoSpaceDE/>
        <w:autoSpaceDN/>
        <w:adjustRightInd/>
        <w:spacing w:after="0"/>
        <w:jc w:val="left"/>
      </w:pPr>
      <w:r>
        <w:rPr>
          <w:noProof/>
        </w:rPr>
        <w:pict w14:anchorId="71C8EE14">
          <v:shapetype id="_x0000_t202" coordsize="21600,21600" o:spt="202" path="m,l,21600r21600,l21600,xe">
            <v:stroke joinstyle="miter"/>
            <v:path gradientshapeok="t" o:connecttype="rect"/>
          </v:shapetype>
          <v:shape id="Text Box 2" o:spid="_x0000_s2050" type="#_x0000_t202" style="position:absolute;margin-left:17.15pt;margin-top:404.2pt;width:515.15pt;height:17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" filled="f" stroked="f">
            <o:lock v:ext="edit" aspectratio="t" verticies="t" text="t" shapetype="t"/>
            <v:textbox>
              <w:txbxContent>
                <w:p w14:paraId="166C9DF4" w14:textId="77777777" w:rsidR="00381CAD" w:rsidRPr="00381CAD" w:rsidRDefault="00381CAD" w:rsidP="00381CAD">
                  <w:pPr>
                    <w:spacing w:after="0"/>
                    <w:ind w:right="-46"/>
                    <w:rPr>
                      <w:rFonts w:cs="Arial"/>
                      <w:b/>
                      <w:bCs/>
                      <w:sz w:val="52"/>
                      <w:szCs w:val="52"/>
                    </w:rPr>
                  </w:pPr>
                  <w:r w:rsidRPr="00381CAD">
                    <w:rPr>
                      <w:rFonts w:cs="Arial"/>
                      <w:b/>
                      <w:bCs/>
                      <w:sz w:val="52"/>
                      <w:szCs w:val="52"/>
                    </w:rPr>
                    <w:t>Money Matters</w:t>
                  </w:r>
                </w:p>
                <w:p w14:paraId="5FF4525C" w14:textId="77777777" w:rsidR="00381CAD" w:rsidRPr="00381CAD" w:rsidRDefault="00381CAD" w:rsidP="00381CAD">
                  <w:pPr>
                    <w:spacing w:after="0"/>
                    <w:ind w:right="-46"/>
                    <w:rPr>
                      <w:rFonts w:cs="Arial"/>
                      <w:b/>
                      <w:bCs/>
                      <w:sz w:val="52"/>
                      <w:szCs w:val="52"/>
                    </w:rPr>
                  </w:pPr>
                  <w:r w:rsidRPr="00381CAD">
                    <w:rPr>
                      <w:rFonts w:cs="Arial"/>
                      <w:b/>
                      <w:bCs/>
                      <w:sz w:val="52"/>
                      <w:szCs w:val="52"/>
                    </w:rPr>
                    <w:t>The County Council's Capital Financial Position</w:t>
                  </w:r>
                </w:p>
                <w:p w14:paraId="3B088085" w14:textId="77777777" w:rsidR="00381CAD" w:rsidRPr="00381CAD" w:rsidRDefault="00381CAD" w:rsidP="00381CAD">
                  <w:pPr>
                    <w:spacing w:after="0"/>
                    <w:ind w:right="-46"/>
                    <w:rPr>
                      <w:rFonts w:cs="Arial"/>
                      <w:b/>
                      <w:bCs/>
                      <w:sz w:val="52"/>
                      <w:szCs w:val="52"/>
                    </w:rPr>
                  </w:pPr>
                  <w:r w:rsidRPr="00381CAD">
                    <w:rPr>
                      <w:rFonts w:cs="Arial"/>
                      <w:b/>
                      <w:bCs/>
                      <w:sz w:val="52"/>
                      <w:szCs w:val="52"/>
                    </w:rPr>
                    <w:t>2022/23 September 2022</w:t>
                  </w:r>
                </w:p>
                <w:p w14:paraId="6AA6F3B2" w14:textId="77777777" w:rsidR="00DB6FF3" w:rsidRDefault="00DB6FF3" w:rsidP="00F5519A"/>
              </w:txbxContent>
            </v:textbox>
          </v:shape>
        </w:pict>
      </w:r>
    </w:p>
    <w:p w14:paraId="7F12A7C5" w14:textId="23FD00B0" w:rsidR="00CA4C7E" w:rsidRPr="00CA4C7E" w:rsidRDefault="00CA4C7E" w:rsidP="00CA4C7E"/>
    <w:p w14:paraId="6BFD5650" w14:textId="77777777" w:rsidR="00CA4C7E" w:rsidRPr="00CA4C7E" w:rsidRDefault="00CA4C7E" w:rsidP="00CA4C7E"/>
    <w:p w14:paraId="230029F8" w14:textId="77777777" w:rsidR="00CA4C7E" w:rsidRPr="00CA4C7E" w:rsidRDefault="00CA4C7E" w:rsidP="00CA4C7E"/>
    <w:p w14:paraId="17390143" w14:textId="77777777" w:rsidR="00CA4C7E" w:rsidRPr="00CA4C7E" w:rsidRDefault="00CA4C7E" w:rsidP="00CA4C7E"/>
    <w:p w14:paraId="62605C94" w14:textId="77777777" w:rsidR="00CA4C7E" w:rsidRPr="00CA4C7E" w:rsidRDefault="00CA4C7E" w:rsidP="00CA4C7E"/>
    <w:p w14:paraId="34052A33" w14:textId="77777777" w:rsidR="00CA4C7E" w:rsidRPr="00CA4C7E" w:rsidRDefault="00CA4C7E" w:rsidP="00CA4C7E"/>
    <w:p w14:paraId="76C170D0" w14:textId="77777777" w:rsidR="00CA4C7E" w:rsidRPr="00CA4C7E" w:rsidRDefault="00CA4C7E" w:rsidP="00CA4C7E"/>
    <w:p w14:paraId="26651D29" w14:textId="77777777" w:rsidR="00CA4C7E" w:rsidRPr="00CA4C7E" w:rsidRDefault="00CA4C7E" w:rsidP="00CA4C7E"/>
    <w:p w14:paraId="30091A8F" w14:textId="77777777" w:rsidR="00CA4C7E" w:rsidRPr="00CA4C7E" w:rsidRDefault="00CA4C7E" w:rsidP="00CA4C7E"/>
    <w:p w14:paraId="603026B2" w14:textId="77777777" w:rsidR="00CA4C7E" w:rsidRPr="00CA4C7E" w:rsidRDefault="00CA4C7E" w:rsidP="00CA4C7E"/>
    <w:p w14:paraId="42E822C7" w14:textId="77777777" w:rsidR="00CA4C7E" w:rsidRPr="00CA4C7E" w:rsidRDefault="00CA4C7E" w:rsidP="00CA4C7E"/>
    <w:p w14:paraId="13D6764A" w14:textId="77777777" w:rsidR="00CA4C7E" w:rsidRPr="00CA4C7E" w:rsidRDefault="00CA4C7E" w:rsidP="00CA4C7E"/>
    <w:p w14:paraId="6DF39AD0" w14:textId="77777777" w:rsidR="00CA4C7E" w:rsidRPr="00CA4C7E" w:rsidRDefault="00CA4C7E" w:rsidP="00CA4C7E"/>
    <w:p w14:paraId="1C347274" w14:textId="77777777" w:rsidR="00CA4C7E" w:rsidRPr="00CA4C7E" w:rsidRDefault="00CA4C7E" w:rsidP="00CA4C7E"/>
    <w:p w14:paraId="572E8614" w14:textId="77777777" w:rsidR="00CA4C7E" w:rsidRPr="00CA4C7E" w:rsidRDefault="00CA4C7E" w:rsidP="00CA4C7E"/>
    <w:p w14:paraId="12527367" w14:textId="77777777" w:rsidR="00CA4C7E" w:rsidRPr="00CA4C7E" w:rsidRDefault="00CA4C7E" w:rsidP="00CA4C7E"/>
    <w:p w14:paraId="32D7082E" w14:textId="77777777" w:rsidR="00CA4C7E" w:rsidRPr="00CA4C7E" w:rsidRDefault="00CA4C7E" w:rsidP="00CA4C7E"/>
    <w:p w14:paraId="01598524" w14:textId="77777777" w:rsidR="00CA4C7E" w:rsidRPr="00CA4C7E" w:rsidRDefault="00CA4C7E" w:rsidP="00CA4C7E"/>
    <w:p w14:paraId="01DBFCF8" w14:textId="77777777" w:rsidR="00CA4C7E" w:rsidRPr="00CA4C7E" w:rsidRDefault="00CA4C7E" w:rsidP="00CA4C7E"/>
    <w:p w14:paraId="470C299E" w14:textId="77777777" w:rsidR="00CA4C7E" w:rsidRPr="00CA4C7E" w:rsidRDefault="00CA4C7E" w:rsidP="00CA4C7E"/>
    <w:p w14:paraId="3C83F9DA" w14:textId="77777777" w:rsidR="00CA4C7E" w:rsidRPr="00CA4C7E" w:rsidRDefault="00CA4C7E" w:rsidP="00CA4C7E"/>
    <w:p w14:paraId="73C39438" w14:textId="77777777" w:rsidR="00CA4C7E" w:rsidRPr="00CA4C7E" w:rsidRDefault="00CA4C7E" w:rsidP="00CA4C7E"/>
    <w:p w14:paraId="4FAFC15A" w14:textId="77777777" w:rsidR="00CA4C7E" w:rsidRPr="00CA4C7E" w:rsidRDefault="00CA4C7E" w:rsidP="00CA4C7E"/>
    <w:p w14:paraId="2FE36A12" w14:textId="77777777" w:rsidR="00CA4C7E" w:rsidRPr="00CA4C7E" w:rsidRDefault="00CA4C7E" w:rsidP="00CA4C7E"/>
    <w:p w14:paraId="4FECB85B" w14:textId="77777777" w:rsidR="00CA4C7E" w:rsidRPr="00CA4C7E" w:rsidRDefault="00CA4C7E" w:rsidP="00CA4C7E"/>
    <w:p w14:paraId="2D7DBDA7" w14:textId="77777777" w:rsidR="00CA4C7E" w:rsidRPr="00CA4C7E" w:rsidRDefault="00CA4C7E" w:rsidP="00CA4C7E"/>
    <w:p w14:paraId="2445CA58" w14:textId="77777777" w:rsidR="00CA4C7E" w:rsidRPr="00CA4C7E" w:rsidRDefault="00CA4C7E" w:rsidP="00CA4C7E"/>
    <w:p w14:paraId="03D144D2" w14:textId="77777777" w:rsidR="00CA4C7E" w:rsidRPr="00CA4C7E" w:rsidRDefault="00CA4C7E" w:rsidP="00CA4C7E"/>
    <w:p w14:paraId="4300550A" w14:textId="77777777" w:rsidR="00CA4C7E" w:rsidRPr="00CA4C7E" w:rsidRDefault="00CA4C7E" w:rsidP="00CA4C7E"/>
    <w:p w14:paraId="554CE89A" w14:textId="77777777" w:rsidR="00CA4C7E" w:rsidRPr="00CA4C7E" w:rsidRDefault="00CA4C7E" w:rsidP="00CA4C7E"/>
    <w:p w14:paraId="1011E11C" w14:textId="3F0D496A" w:rsidR="00CA4C7E" w:rsidRPr="00CA4C7E" w:rsidRDefault="00CA4C7E" w:rsidP="00CA4C7E">
      <w:pPr>
        <w:tabs>
          <w:tab w:val="left" w:pos="1880"/>
        </w:tabs>
        <w:sectPr w:rsidR="00CA4C7E" w:rsidRPr="00CA4C7E" w:rsidSect="00067A19">
          <w:headerReference w:type="even" r:id="rId11"/>
          <w:headerReference w:type="default" r:id="rId12"/>
          <w:footerReference w:type="even" r:id="rId13"/>
          <w:footerReference w:type="default" r:id="rId14"/>
          <w:headerReference w:type="first" r:id="rId15"/>
          <w:footerReference w:type="first" r:id="rId16"/>
          <w:pgSz w:w="11900" w:h="16840" w:code="9"/>
          <w:pgMar w:top="720" w:right="720" w:bottom="720" w:left="720" w:header="709" w:footer="709" w:gutter="0"/>
          <w:cols w:space="292"/>
          <w:titlePg/>
          <w:docGrid w:linePitch="326"/>
        </w:sectPr>
      </w:pPr>
    </w:p>
    <w:p w14:paraId="18F5A666" w14:textId="77777777" w:rsidR="006D7BB1" w:rsidRDefault="00BD6097" w:rsidP="00BD6097">
      <w:pPr>
        <w:pStyle w:val="TOCHeader"/>
        <w:rPr>
          <w:sz w:val="40"/>
          <w:szCs w:val="40"/>
        </w:rPr>
      </w:pPr>
      <w:bookmarkStart w:id="0" w:name="_Toc304199307"/>
      <w:r w:rsidRPr="00BD6097">
        <w:rPr>
          <w:sz w:val="40"/>
          <w:szCs w:val="40"/>
        </w:rPr>
        <w:lastRenderedPageBreak/>
        <w:t>Contents</w:t>
      </w:r>
    </w:p>
    <w:tbl>
      <w:tblPr>
        <w:tblStyle w:val="TableGrid1"/>
        <w:tblW w:w="9105" w:type="dxa"/>
        <w:tblLook w:val="04A0" w:firstRow="1" w:lastRow="0" w:firstColumn="1" w:lastColumn="0" w:noHBand="0" w:noVBand="1"/>
      </w:tblPr>
      <w:tblGrid>
        <w:gridCol w:w="483"/>
        <w:gridCol w:w="7529"/>
        <w:gridCol w:w="1093"/>
      </w:tblGrid>
      <w:tr w:rsidR="00381CAD" w:rsidRPr="00381CAD" w14:paraId="27ACF795" w14:textId="77777777" w:rsidTr="00CB0FFD">
        <w:trPr>
          <w:trHeight w:val="575"/>
        </w:trPr>
        <w:tc>
          <w:tcPr>
            <w:tcW w:w="483" w:type="dxa"/>
          </w:tcPr>
          <w:p w14:paraId="6895EA80" w14:textId="77777777" w:rsidR="00381CAD" w:rsidRPr="00381CAD" w:rsidRDefault="00381CAD" w:rsidP="00381CAD">
            <w:pPr>
              <w:ind w:right="-46"/>
              <w:jc w:val="center"/>
              <w:rPr>
                <w:rFonts w:cs="Arial"/>
                <w:b/>
                <w:bCs/>
              </w:rPr>
            </w:pPr>
          </w:p>
        </w:tc>
        <w:tc>
          <w:tcPr>
            <w:tcW w:w="7529" w:type="dxa"/>
            <w:vAlign w:val="center"/>
          </w:tcPr>
          <w:p w14:paraId="5A521B32" w14:textId="77777777" w:rsidR="00381CAD" w:rsidRPr="00381CAD" w:rsidRDefault="00381CAD" w:rsidP="00381CAD">
            <w:pPr>
              <w:ind w:right="-46"/>
              <w:rPr>
                <w:rFonts w:cs="Arial"/>
                <w:b/>
                <w:bCs/>
              </w:rPr>
            </w:pPr>
          </w:p>
        </w:tc>
        <w:tc>
          <w:tcPr>
            <w:tcW w:w="1093" w:type="dxa"/>
            <w:vAlign w:val="center"/>
          </w:tcPr>
          <w:p w14:paraId="1AEA402E" w14:textId="77777777" w:rsidR="00381CAD" w:rsidRPr="00381CAD" w:rsidRDefault="00381CAD" w:rsidP="00381CAD">
            <w:pPr>
              <w:ind w:right="-46"/>
              <w:jc w:val="center"/>
              <w:rPr>
                <w:rFonts w:cs="Arial"/>
                <w:b/>
                <w:bCs/>
              </w:rPr>
            </w:pPr>
            <w:r w:rsidRPr="00381CAD">
              <w:rPr>
                <w:rFonts w:cs="Arial"/>
                <w:b/>
                <w:bCs/>
              </w:rPr>
              <w:t>Page</w:t>
            </w:r>
          </w:p>
        </w:tc>
      </w:tr>
      <w:tr w:rsidR="00381CAD" w:rsidRPr="00381CAD" w14:paraId="7F476563" w14:textId="77777777" w:rsidTr="00CB0FFD">
        <w:trPr>
          <w:trHeight w:val="575"/>
        </w:trPr>
        <w:tc>
          <w:tcPr>
            <w:tcW w:w="483" w:type="dxa"/>
            <w:vAlign w:val="center"/>
          </w:tcPr>
          <w:p w14:paraId="31A2E4EC" w14:textId="77777777" w:rsidR="00381CAD" w:rsidRPr="00381CAD" w:rsidRDefault="00381CAD" w:rsidP="00381CAD">
            <w:pPr>
              <w:ind w:right="-46"/>
              <w:rPr>
                <w:rFonts w:cs="Arial"/>
                <w:b/>
                <w:bCs/>
              </w:rPr>
            </w:pPr>
            <w:r w:rsidRPr="00381CAD">
              <w:rPr>
                <w:rFonts w:cs="Arial"/>
                <w:b/>
                <w:bCs/>
              </w:rPr>
              <w:t>1</w:t>
            </w:r>
          </w:p>
        </w:tc>
        <w:tc>
          <w:tcPr>
            <w:tcW w:w="7529" w:type="dxa"/>
            <w:vAlign w:val="center"/>
          </w:tcPr>
          <w:p w14:paraId="51350AC0" w14:textId="77777777" w:rsidR="00381CAD" w:rsidRPr="00381CAD" w:rsidRDefault="00381CAD" w:rsidP="00381CAD">
            <w:pPr>
              <w:ind w:right="-46"/>
              <w:rPr>
                <w:rFonts w:cs="Arial"/>
                <w:b/>
                <w:bCs/>
              </w:rPr>
            </w:pPr>
          </w:p>
          <w:p w14:paraId="7AEA397E" w14:textId="77777777" w:rsidR="00381CAD" w:rsidRPr="00381CAD" w:rsidRDefault="00381CAD" w:rsidP="00381CAD">
            <w:pPr>
              <w:ind w:right="-46"/>
              <w:rPr>
                <w:rFonts w:cs="Arial"/>
                <w:b/>
                <w:bCs/>
              </w:rPr>
            </w:pPr>
            <w:r w:rsidRPr="00381CAD">
              <w:rPr>
                <w:rFonts w:cs="Arial"/>
                <w:b/>
                <w:bCs/>
              </w:rPr>
              <w:t>Introduction</w:t>
            </w:r>
          </w:p>
          <w:p w14:paraId="06AC9D80" w14:textId="77777777" w:rsidR="00381CAD" w:rsidRPr="00381CAD" w:rsidRDefault="00381CAD" w:rsidP="00381CAD">
            <w:pPr>
              <w:ind w:right="-46"/>
              <w:rPr>
                <w:rFonts w:cs="Arial"/>
                <w:b/>
                <w:bCs/>
              </w:rPr>
            </w:pPr>
          </w:p>
        </w:tc>
        <w:tc>
          <w:tcPr>
            <w:tcW w:w="1093" w:type="dxa"/>
            <w:vAlign w:val="center"/>
          </w:tcPr>
          <w:p w14:paraId="2722DB64" w14:textId="448FF356" w:rsidR="00381CAD" w:rsidRPr="00381CAD" w:rsidRDefault="004146E2" w:rsidP="00381CAD">
            <w:pPr>
              <w:ind w:right="-46"/>
              <w:jc w:val="center"/>
              <w:rPr>
                <w:rFonts w:cs="Arial"/>
                <w:b/>
                <w:bCs/>
              </w:rPr>
            </w:pPr>
            <w:r>
              <w:rPr>
                <w:rFonts w:cs="Arial"/>
                <w:b/>
                <w:bCs/>
              </w:rPr>
              <w:t>2</w:t>
            </w:r>
          </w:p>
        </w:tc>
      </w:tr>
      <w:tr w:rsidR="00381CAD" w:rsidRPr="00381CAD" w14:paraId="6A81417A" w14:textId="77777777" w:rsidTr="00CB0FFD">
        <w:trPr>
          <w:trHeight w:val="575"/>
        </w:trPr>
        <w:tc>
          <w:tcPr>
            <w:tcW w:w="483" w:type="dxa"/>
            <w:vAlign w:val="center"/>
          </w:tcPr>
          <w:p w14:paraId="710993E7" w14:textId="77777777" w:rsidR="00381CAD" w:rsidRPr="00381CAD" w:rsidRDefault="00381CAD" w:rsidP="00381CAD">
            <w:pPr>
              <w:ind w:right="-46"/>
              <w:rPr>
                <w:rFonts w:cs="Arial"/>
                <w:b/>
                <w:bCs/>
              </w:rPr>
            </w:pPr>
            <w:r w:rsidRPr="00381CAD">
              <w:rPr>
                <w:rFonts w:cs="Arial"/>
                <w:b/>
                <w:bCs/>
              </w:rPr>
              <w:t>2</w:t>
            </w:r>
          </w:p>
        </w:tc>
        <w:tc>
          <w:tcPr>
            <w:tcW w:w="7529" w:type="dxa"/>
            <w:vAlign w:val="center"/>
          </w:tcPr>
          <w:p w14:paraId="177BF863" w14:textId="77777777" w:rsidR="00381CAD" w:rsidRPr="00381CAD" w:rsidRDefault="00381CAD" w:rsidP="00381CAD">
            <w:pPr>
              <w:ind w:right="-46"/>
              <w:rPr>
                <w:rFonts w:cs="Arial"/>
                <w:b/>
                <w:bCs/>
              </w:rPr>
            </w:pPr>
          </w:p>
          <w:p w14:paraId="09F49DFF" w14:textId="77777777" w:rsidR="00381CAD" w:rsidRPr="00381CAD" w:rsidRDefault="00381CAD" w:rsidP="00381CAD">
            <w:pPr>
              <w:ind w:right="-46"/>
              <w:rPr>
                <w:rFonts w:cs="Arial"/>
                <w:b/>
                <w:bCs/>
              </w:rPr>
            </w:pPr>
            <w:r w:rsidRPr="00381CAD">
              <w:rPr>
                <w:rFonts w:cs="Arial"/>
                <w:b/>
                <w:bCs/>
              </w:rPr>
              <w:t>Delivery Programme</w:t>
            </w:r>
          </w:p>
          <w:p w14:paraId="085E03AD" w14:textId="77777777" w:rsidR="00381CAD" w:rsidRPr="00381CAD" w:rsidRDefault="00381CAD" w:rsidP="00381CAD">
            <w:pPr>
              <w:ind w:right="-46"/>
              <w:rPr>
                <w:rFonts w:cs="Arial"/>
                <w:b/>
                <w:bCs/>
              </w:rPr>
            </w:pPr>
          </w:p>
        </w:tc>
        <w:tc>
          <w:tcPr>
            <w:tcW w:w="1093" w:type="dxa"/>
            <w:vAlign w:val="center"/>
          </w:tcPr>
          <w:p w14:paraId="19BFB4A1" w14:textId="61770428" w:rsidR="00381CAD" w:rsidRPr="00381CAD" w:rsidRDefault="004146E2" w:rsidP="00381CAD">
            <w:pPr>
              <w:ind w:right="-46"/>
              <w:jc w:val="center"/>
              <w:rPr>
                <w:rFonts w:cs="Arial"/>
                <w:b/>
                <w:bCs/>
              </w:rPr>
            </w:pPr>
            <w:r>
              <w:rPr>
                <w:rFonts w:cs="Arial"/>
                <w:b/>
                <w:bCs/>
              </w:rPr>
              <w:t>3</w:t>
            </w:r>
          </w:p>
        </w:tc>
      </w:tr>
      <w:tr w:rsidR="00381CAD" w:rsidRPr="00381CAD" w14:paraId="06888310" w14:textId="77777777" w:rsidTr="00CB0FFD">
        <w:trPr>
          <w:trHeight w:val="575"/>
        </w:trPr>
        <w:tc>
          <w:tcPr>
            <w:tcW w:w="483" w:type="dxa"/>
            <w:vAlign w:val="center"/>
          </w:tcPr>
          <w:p w14:paraId="7BB9DFF9" w14:textId="77777777" w:rsidR="00381CAD" w:rsidRPr="00381CAD" w:rsidRDefault="00381CAD" w:rsidP="00381CAD">
            <w:pPr>
              <w:ind w:right="-46"/>
              <w:rPr>
                <w:rFonts w:cs="Arial"/>
                <w:b/>
                <w:bCs/>
              </w:rPr>
            </w:pPr>
            <w:r w:rsidRPr="00381CAD">
              <w:rPr>
                <w:rFonts w:cs="Arial"/>
                <w:b/>
                <w:bCs/>
              </w:rPr>
              <w:t>3</w:t>
            </w:r>
          </w:p>
        </w:tc>
        <w:tc>
          <w:tcPr>
            <w:tcW w:w="7529" w:type="dxa"/>
            <w:vAlign w:val="center"/>
          </w:tcPr>
          <w:p w14:paraId="24D260EC" w14:textId="77777777" w:rsidR="00381CAD" w:rsidRPr="00381CAD" w:rsidRDefault="00381CAD" w:rsidP="00381CAD">
            <w:pPr>
              <w:ind w:right="-46"/>
              <w:rPr>
                <w:rFonts w:cs="Arial"/>
                <w:b/>
                <w:bCs/>
              </w:rPr>
            </w:pPr>
          </w:p>
          <w:p w14:paraId="35DD152D" w14:textId="77777777" w:rsidR="00381CAD" w:rsidRPr="00381CAD" w:rsidRDefault="00381CAD" w:rsidP="00381CAD">
            <w:pPr>
              <w:ind w:right="-46"/>
              <w:rPr>
                <w:rFonts w:cs="Arial"/>
                <w:b/>
                <w:bCs/>
              </w:rPr>
            </w:pPr>
            <w:r w:rsidRPr="00381CAD">
              <w:rPr>
                <w:rFonts w:cs="Arial"/>
                <w:b/>
                <w:bCs/>
              </w:rPr>
              <w:t>Detailed Narrative</w:t>
            </w:r>
          </w:p>
          <w:p w14:paraId="7D823836" w14:textId="77777777" w:rsidR="00381CAD" w:rsidRPr="00381CAD" w:rsidRDefault="00381CAD" w:rsidP="00381CAD">
            <w:pPr>
              <w:ind w:right="-46"/>
              <w:rPr>
                <w:rFonts w:cs="Arial"/>
                <w:b/>
                <w:bCs/>
              </w:rPr>
            </w:pPr>
          </w:p>
        </w:tc>
        <w:tc>
          <w:tcPr>
            <w:tcW w:w="1093" w:type="dxa"/>
            <w:vAlign w:val="center"/>
          </w:tcPr>
          <w:p w14:paraId="07B359CB" w14:textId="333251C0" w:rsidR="00381CAD" w:rsidRPr="00381CAD" w:rsidRDefault="004146E2" w:rsidP="00381CAD">
            <w:pPr>
              <w:ind w:right="-46"/>
              <w:jc w:val="center"/>
              <w:rPr>
                <w:rFonts w:cs="Arial"/>
                <w:b/>
                <w:bCs/>
              </w:rPr>
            </w:pPr>
            <w:r>
              <w:rPr>
                <w:rFonts w:cs="Arial"/>
                <w:b/>
                <w:bCs/>
              </w:rPr>
              <w:t>7</w:t>
            </w:r>
          </w:p>
        </w:tc>
      </w:tr>
    </w:tbl>
    <w:p w14:paraId="69607DBE" w14:textId="77777777" w:rsidR="006D7BB1" w:rsidRPr="00BD6097" w:rsidRDefault="006D7BB1" w:rsidP="00DB368D"/>
    <w:p w14:paraId="35C4C2FB" w14:textId="73DD7CEC" w:rsidR="006D7BB1" w:rsidRDefault="006D7BB1" w:rsidP="000E00B0">
      <w:pPr>
        <w:sectPr w:rsidR="006D7BB1" w:rsidSect="00067A19">
          <w:pgSz w:w="11900" w:h="16840" w:code="9"/>
          <w:pgMar w:top="1440" w:right="1440" w:bottom="1440" w:left="1440" w:header="283" w:footer="283" w:gutter="0"/>
          <w:pgNumType w:start="1"/>
          <w:cols w:space="292"/>
          <w:docGrid w:linePitch="326"/>
        </w:sectPr>
      </w:pPr>
    </w:p>
    <w:p w14:paraId="36CE0503" w14:textId="77777777" w:rsidR="00381CAD" w:rsidRPr="00BF4A8A" w:rsidRDefault="00381CAD" w:rsidP="00381CAD">
      <w:pPr>
        <w:spacing w:after="0"/>
        <w:rPr>
          <w:rFonts w:cs="Arial"/>
          <w:b/>
        </w:rPr>
      </w:pPr>
      <w:bookmarkStart w:id="1" w:name="_Toc304199309"/>
      <w:bookmarkEnd w:id="0"/>
      <w:r w:rsidRPr="00BF4A8A">
        <w:rPr>
          <w:rFonts w:cs="Arial"/>
          <w:b/>
        </w:rPr>
        <w:lastRenderedPageBreak/>
        <w:t>Capital Programme Monitoring – September 2022</w:t>
      </w:r>
    </w:p>
    <w:p w14:paraId="18A31B3C" w14:textId="77777777" w:rsidR="00381CAD" w:rsidRPr="00BF4A8A" w:rsidRDefault="00381CAD" w:rsidP="00381CAD">
      <w:pPr>
        <w:spacing w:after="0"/>
        <w:rPr>
          <w:rFonts w:cs="Arial"/>
          <w:b/>
        </w:rPr>
      </w:pPr>
    </w:p>
    <w:p w14:paraId="445889CA" w14:textId="77777777" w:rsidR="00381CAD" w:rsidRDefault="00381CAD" w:rsidP="00381CAD">
      <w:pPr>
        <w:numPr>
          <w:ilvl w:val="0"/>
          <w:numId w:val="5"/>
        </w:numPr>
        <w:autoSpaceDE/>
        <w:autoSpaceDN/>
        <w:adjustRightInd/>
        <w:spacing w:after="0" w:line="259" w:lineRule="auto"/>
        <w:contextualSpacing/>
        <w:rPr>
          <w:rFonts w:cs="Arial"/>
          <w:b/>
        </w:rPr>
      </w:pPr>
      <w:r w:rsidRPr="00BF4A8A">
        <w:rPr>
          <w:rFonts w:cs="Arial"/>
          <w:b/>
        </w:rPr>
        <w:t>Introduction</w:t>
      </w:r>
    </w:p>
    <w:p w14:paraId="13AADEAE" w14:textId="77777777" w:rsidR="00381CAD" w:rsidRPr="00BF4A8A" w:rsidRDefault="00381CAD" w:rsidP="00381CAD">
      <w:pPr>
        <w:spacing w:after="0"/>
        <w:ind w:left="360"/>
        <w:contextualSpacing/>
        <w:rPr>
          <w:rFonts w:cs="Arial"/>
          <w:b/>
        </w:rPr>
      </w:pPr>
    </w:p>
    <w:p w14:paraId="1D2D79F4" w14:textId="77777777" w:rsidR="00381CAD" w:rsidRPr="00BF4A8A" w:rsidRDefault="00381CAD" w:rsidP="00381CAD">
      <w:pPr>
        <w:spacing w:after="0"/>
        <w:rPr>
          <w:rFonts w:cs="Arial"/>
        </w:rPr>
      </w:pPr>
      <w:r w:rsidRPr="00BF4A8A">
        <w:rPr>
          <w:rFonts w:cs="Arial"/>
        </w:rPr>
        <w:t xml:space="preserve">In February 2022 an indicative Capital Delivery Programme </w:t>
      </w:r>
      <w:r w:rsidRPr="00184E4B">
        <w:rPr>
          <w:rFonts w:cs="Arial"/>
        </w:rPr>
        <w:t>of £208.263m</w:t>
      </w:r>
      <w:r w:rsidRPr="00BF4A8A">
        <w:rPr>
          <w:rFonts w:cs="Arial"/>
        </w:rPr>
        <w:t xml:space="preserve"> was agreed with Cabinet. This delivery programme figure has been revisited and, following confirmation of the final 2021/22 slipped delivery figures, </w:t>
      </w:r>
      <w:r>
        <w:rPr>
          <w:rFonts w:cs="Arial"/>
        </w:rPr>
        <w:t xml:space="preserve">additions </w:t>
      </w:r>
      <w:r w:rsidRPr="00BF4A8A">
        <w:rPr>
          <w:rFonts w:cs="Arial"/>
        </w:rPr>
        <w:t xml:space="preserve">subsequently approved </w:t>
      </w:r>
      <w:r>
        <w:rPr>
          <w:rFonts w:cs="Arial"/>
        </w:rPr>
        <w:t xml:space="preserve">at cabinet </w:t>
      </w:r>
      <w:r w:rsidRPr="00BF4A8A">
        <w:rPr>
          <w:rFonts w:cs="Arial"/>
        </w:rPr>
        <w:t xml:space="preserve">re-profiling of the programme have increased the in-year programme to </w:t>
      </w:r>
      <w:r w:rsidRPr="00184E4B">
        <w:rPr>
          <w:rFonts w:cs="Arial"/>
        </w:rPr>
        <w:t>£222.069m.</w:t>
      </w:r>
      <w:r w:rsidRPr="00BF4A8A">
        <w:rPr>
          <w:rFonts w:cs="Arial"/>
        </w:rPr>
        <w:t xml:space="preserve"> This figure will </w:t>
      </w:r>
      <w:r>
        <w:rPr>
          <w:rFonts w:cs="Arial"/>
        </w:rPr>
        <w:t xml:space="preserve">now </w:t>
      </w:r>
      <w:r w:rsidRPr="00BF4A8A">
        <w:rPr>
          <w:rFonts w:cs="Arial"/>
        </w:rPr>
        <w:t>form the basis of the capital programme monitoring throughout the financial year.</w:t>
      </w:r>
    </w:p>
    <w:p w14:paraId="74AC36B7" w14:textId="77777777" w:rsidR="00381CAD" w:rsidRPr="00BF4A8A" w:rsidRDefault="00381CAD" w:rsidP="00381CAD">
      <w:pPr>
        <w:spacing w:after="0"/>
        <w:rPr>
          <w:rFonts w:cs="Arial"/>
        </w:rPr>
      </w:pPr>
    </w:p>
    <w:p w14:paraId="0DBC09B6" w14:textId="77777777" w:rsidR="00381CAD" w:rsidRPr="00BF4A8A" w:rsidRDefault="00381CAD" w:rsidP="00381CAD">
      <w:pPr>
        <w:spacing w:after="0"/>
        <w:rPr>
          <w:rFonts w:cs="Arial"/>
          <w:highlight w:val="yellow"/>
        </w:rPr>
      </w:pPr>
      <w:r w:rsidRPr="00BF4A8A">
        <w:rPr>
          <w:rFonts w:cs="Arial"/>
        </w:rPr>
        <w:t xml:space="preserve">The delivery programme is shown in section 2 split by block. This is an ambitious delivery programme which has been agreed with service heads and corresponds to the additional monies requested through the February 2022 budget setting process. To achieve this high delivery plan, which is significantly higher than prior years actual delivery, </w:t>
      </w:r>
      <w:r>
        <w:rPr>
          <w:rFonts w:cs="Arial"/>
        </w:rPr>
        <w:t xml:space="preserve">it </w:t>
      </w:r>
      <w:r w:rsidRPr="00BF4A8A">
        <w:rPr>
          <w:rFonts w:cs="Arial"/>
        </w:rPr>
        <w:t>will require a substantial increase in the resource applied to delivery of the capital programme. Should this resource not be available then large slippage variances will likely be incurred.</w:t>
      </w:r>
    </w:p>
    <w:p w14:paraId="01CD4F15" w14:textId="77777777" w:rsidR="00381CAD" w:rsidRPr="00BF4A8A" w:rsidRDefault="00381CAD" w:rsidP="00381CAD">
      <w:pPr>
        <w:spacing w:after="0"/>
        <w:rPr>
          <w:rFonts w:cs="Arial"/>
          <w:highlight w:val="yellow"/>
        </w:rPr>
      </w:pPr>
    </w:p>
    <w:p w14:paraId="3C5F8270" w14:textId="77777777" w:rsidR="00381CAD" w:rsidRPr="00BF4A8A" w:rsidRDefault="00381CAD" w:rsidP="00381CAD">
      <w:pPr>
        <w:spacing w:after="0"/>
        <w:rPr>
          <w:rFonts w:cs="Arial"/>
        </w:rPr>
      </w:pPr>
      <w:r w:rsidRPr="00BF4A8A">
        <w:rPr>
          <w:rFonts w:cs="Arial"/>
        </w:rPr>
        <w:t>The project and programme managers will be held accountable using the following actions:</w:t>
      </w:r>
    </w:p>
    <w:p w14:paraId="371BEA2B" w14:textId="77777777" w:rsidR="00381CAD" w:rsidRPr="00BF4A8A" w:rsidRDefault="00381CAD" w:rsidP="00381CAD">
      <w:pPr>
        <w:spacing w:after="0"/>
        <w:ind w:left="709" w:hanging="283"/>
        <w:rPr>
          <w:rFonts w:cs="Arial"/>
        </w:rPr>
      </w:pPr>
      <w:r w:rsidRPr="00BF4A8A">
        <w:rPr>
          <w:rFonts w:cs="Arial"/>
        </w:rPr>
        <w:t>-</w:t>
      </w:r>
      <w:r w:rsidRPr="00BF4A8A">
        <w:rPr>
          <w:rFonts w:cs="Arial"/>
        </w:rPr>
        <w:tab/>
        <w:t>Detailed monitoring of the delivery programme throughout 2022/23 to ensure variances are reported</w:t>
      </w:r>
      <w:r>
        <w:rPr>
          <w:rFonts w:cs="Arial"/>
        </w:rPr>
        <w:t xml:space="preserve"> to senior managers and cabinet</w:t>
      </w:r>
      <w:r w:rsidRPr="00BF4A8A">
        <w:rPr>
          <w:rFonts w:cs="Arial"/>
        </w:rPr>
        <w:t xml:space="preserve"> in a timely manner and a robust level of challenge is provided to programme and project managers to ensure delivery remains on track</w:t>
      </w:r>
      <w:r>
        <w:rPr>
          <w:rFonts w:cs="Arial"/>
        </w:rPr>
        <w:t>.</w:t>
      </w:r>
    </w:p>
    <w:p w14:paraId="44F3382E" w14:textId="77777777" w:rsidR="00381CAD" w:rsidRPr="00BF4A8A" w:rsidRDefault="00381CAD" w:rsidP="00381CAD">
      <w:pPr>
        <w:spacing w:after="0"/>
        <w:ind w:left="709" w:hanging="283"/>
        <w:rPr>
          <w:rFonts w:cs="Arial"/>
        </w:rPr>
      </w:pPr>
      <w:r w:rsidRPr="00BF4A8A">
        <w:rPr>
          <w:rFonts w:cs="Arial"/>
        </w:rPr>
        <w:t>-</w:t>
      </w:r>
      <w:r w:rsidRPr="00BF4A8A">
        <w:rPr>
          <w:rFonts w:cs="Arial"/>
        </w:rPr>
        <w:tab/>
        <w:t>Monitoring of projects to measure the ongoing effect of price increases between project design and project delivery</w:t>
      </w:r>
      <w:r>
        <w:rPr>
          <w:rFonts w:cs="Arial"/>
        </w:rPr>
        <w:t>.</w:t>
      </w:r>
    </w:p>
    <w:p w14:paraId="41BF1E45" w14:textId="77777777" w:rsidR="00381CAD" w:rsidRPr="00BF4A8A" w:rsidRDefault="00381CAD" w:rsidP="00381CAD">
      <w:pPr>
        <w:spacing w:after="0"/>
        <w:ind w:left="709" w:hanging="283"/>
        <w:rPr>
          <w:rFonts w:cs="Arial"/>
          <w:highlight w:val="yellow"/>
        </w:rPr>
      </w:pPr>
      <w:r w:rsidRPr="00BF4A8A">
        <w:rPr>
          <w:rFonts w:cs="Arial"/>
        </w:rPr>
        <w:t>-</w:t>
      </w:r>
      <w:r w:rsidRPr="00BF4A8A">
        <w:rPr>
          <w:rFonts w:cs="Arial"/>
        </w:rPr>
        <w:tab/>
        <w:t xml:space="preserve">Performance reports </w:t>
      </w:r>
      <w:r>
        <w:rPr>
          <w:rFonts w:cs="Arial"/>
        </w:rPr>
        <w:t xml:space="preserve">will be further </w:t>
      </w:r>
      <w:r w:rsidRPr="00BF4A8A">
        <w:rPr>
          <w:rFonts w:cs="Arial"/>
        </w:rPr>
        <w:t>developed to enable the capital board to undertake monitoring and challenge</w:t>
      </w:r>
      <w:r>
        <w:rPr>
          <w:rFonts w:cs="Arial"/>
        </w:rPr>
        <w:t xml:space="preserve"> and escalate matters where required to the executive management team (EMT)</w:t>
      </w:r>
      <w:r w:rsidRPr="00BF4A8A">
        <w:rPr>
          <w:rFonts w:cs="Arial"/>
        </w:rPr>
        <w:t>.</w:t>
      </w:r>
    </w:p>
    <w:p w14:paraId="4AA3B79B" w14:textId="4F43C4AB" w:rsidR="001416EF" w:rsidRDefault="001416EF" w:rsidP="00A21C4E">
      <w:pPr>
        <w:pStyle w:val="BodyText"/>
        <w:rPr>
          <w:highlight w:val="yellow"/>
        </w:rPr>
      </w:pPr>
    </w:p>
    <w:p w14:paraId="75DCA963" w14:textId="2D5B2FEE" w:rsidR="00381CAD" w:rsidRDefault="00381CAD" w:rsidP="00A21C4E">
      <w:pPr>
        <w:pStyle w:val="BodyText"/>
        <w:rPr>
          <w:highlight w:val="yellow"/>
        </w:rPr>
      </w:pPr>
    </w:p>
    <w:p w14:paraId="1E4A85C5" w14:textId="2BFA94E9" w:rsidR="00381CAD" w:rsidRDefault="00381CAD" w:rsidP="00A21C4E">
      <w:pPr>
        <w:pStyle w:val="BodyText"/>
        <w:rPr>
          <w:highlight w:val="yellow"/>
        </w:rPr>
      </w:pPr>
    </w:p>
    <w:p w14:paraId="472F66EA" w14:textId="008C08A9" w:rsidR="00381CAD" w:rsidRDefault="00381CAD" w:rsidP="00A21C4E">
      <w:pPr>
        <w:pStyle w:val="BodyText"/>
        <w:rPr>
          <w:highlight w:val="yellow"/>
        </w:rPr>
      </w:pPr>
    </w:p>
    <w:p w14:paraId="1734F338" w14:textId="65636B2F" w:rsidR="00381CAD" w:rsidRDefault="00381CAD" w:rsidP="00A21C4E">
      <w:pPr>
        <w:pStyle w:val="BodyText"/>
        <w:rPr>
          <w:highlight w:val="yellow"/>
        </w:rPr>
      </w:pPr>
    </w:p>
    <w:p w14:paraId="3213C620" w14:textId="3BA485E7" w:rsidR="00381CAD" w:rsidRDefault="00381CAD" w:rsidP="00A21C4E">
      <w:pPr>
        <w:pStyle w:val="BodyText"/>
        <w:rPr>
          <w:highlight w:val="yellow"/>
        </w:rPr>
      </w:pPr>
    </w:p>
    <w:p w14:paraId="31B1C550" w14:textId="0BEB521A" w:rsidR="00381CAD" w:rsidRDefault="00381CAD" w:rsidP="00A21C4E">
      <w:pPr>
        <w:pStyle w:val="BodyText"/>
        <w:rPr>
          <w:highlight w:val="yellow"/>
        </w:rPr>
      </w:pPr>
    </w:p>
    <w:p w14:paraId="5DB96039" w14:textId="2BAD4E10" w:rsidR="00381CAD" w:rsidRDefault="00381CAD" w:rsidP="00A21C4E">
      <w:pPr>
        <w:pStyle w:val="BodyText"/>
        <w:rPr>
          <w:highlight w:val="yellow"/>
        </w:rPr>
      </w:pPr>
    </w:p>
    <w:p w14:paraId="3298901C" w14:textId="21DD42E9" w:rsidR="00381CAD" w:rsidRDefault="00381CAD" w:rsidP="00A21C4E">
      <w:pPr>
        <w:pStyle w:val="BodyText"/>
        <w:rPr>
          <w:highlight w:val="yellow"/>
        </w:rPr>
      </w:pPr>
    </w:p>
    <w:p w14:paraId="405CBC16" w14:textId="40A870DC" w:rsidR="00381CAD" w:rsidRDefault="00381CAD" w:rsidP="00A21C4E">
      <w:pPr>
        <w:pStyle w:val="BodyText"/>
        <w:rPr>
          <w:highlight w:val="yellow"/>
        </w:rPr>
      </w:pPr>
    </w:p>
    <w:p w14:paraId="18FE6BBC" w14:textId="7377CD88" w:rsidR="00381CAD" w:rsidRDefault="00381CAD" w:rsidP="00A21C4E">
      <w:pPr>
        <w:pStyle w:val="BodyText"/>
        <w:rPr>
          <w:highlight w:val="yellow"/>
        </w:rPr>
      </w:pPr>
    </w:p>
    <w:p w14:paraId="5614CA20" w14:textId="769B00DE" w:rsidR="00381CAD" w:rsidRDefault="00381CAD" w:rsidP="00A21C4E">
      <w:pPr>
        <w:pStyle w:val="BodyText"/>
        <w:rPr>
          <w:highlight w:val="yellow"/>
        </w:rPr>
      </w:pPr>
    </w:p>
    <w:p w14:paraId="337D3D49" w14:textId="66A4DE14" w:rsidR="00381CAD" w:rsidRDefault="00381CAD" w:rsidP="00A21C4E">
      <w:pPr>
        <w:pStyle w:val="BodyText"/>
        <w:rPr>
          <w:highlight w:val="yellow"/>
        </w:rPr>
      </w:pPr>
    </w:p>
    <w:p w14:paraId="5DE886D2" w14:textId="77777777" w:rsidR="00381CAD" w:rsidRPr="004F480D" w:rsidRDefault="00381CAD" w:rsidP="00A21C4E">
      <w:pPr>
        <w:pStyle w:val="BodyText"/>
        <w:rPr>
          <w:highlight w:val="yellow"/>
        </w:rPr>
      </w:pPr>
    </w:p>
    <w:p w14:paraId="08B3E8BB" w14:textId="77777777" w:rsidR="00381CAD" w:rsidRPr="00ED635C" w:rsidRDefault="00381CAD" w:rsidP="00381CAD">
      <w:pPr>
        <w:pStyle w:val="ListParagraph"/>
        <w:numPr>
          <w:ilvl w:val="0"/>
          <w:numId w:val="5"/>
        </w:numPr>
        <w:autoSpaceDE/>
        <w:autoSpaceDN/>
        <w:adjustRightInd/>
        <w:spacing w:after="160" w:line="259" w:lineRule="auto"/>
        <w:jc w:val="left"/>
        <w:rPr>
          <w:rFonts w:cs="Arial"/>
          <w:b/>
        </w:rPr>
      </w:pPr>
      <w:r w:rsidRPr="00ED635C">
        <w:rPr>
          <w:rFonts w:cs="Arial"/>
          <w:b/>
        </w:rPr>
        <w:lastRenderedPageBreak/>
        <w:t>Delivery Programme</w:t>
      </w:r>
    </w:p>
    <w:p w14:paraId="78F41603" w14:textId="77777777" w:rsidR="00381CAD" w:rsidRPr="00BF4A8A" w:rsidRDefault="00381CAD" w:rsidP="00381CAD">
      <w:pPr>
        <w:spacing w:after="0"/>
        <w:ind w:left="360"/>
        <w:contextualSpacing/>
        <w:rPr>
          <w:rFonts w:cs="Arial"/>
          <w:b/>
        </w:rPr>
      </w:pPr>
    </w:p>
    <w:p w14:paraId="46FD6740" w14:textId="77777777" w:rsidR="00381CAD" w:rsidRPr="00184E4B" w:rsidRDefault="00381CAD" w:rsidP="00381CAD">
      <w:pPr>
        <w:rPr>
          <w:rFonts w:cs="Arial"/>
        </w:rPr>
      </w:pPr>
      <w:r w:rsidRPr="00184E4B">
        <w:rPr>
          <w:rFonts w:cs="Arial"/>
        </w:rPr>
        <w:t>The current delivery programme was originally a</w:t>
      </w:r>
      <w:r>
        <w:rPr>
          <w:rFonts w:cs="Arial"/>
        </w:rPr>
        <w:t xml:space="preserve">pproved by Full Council in February </w:t>
      </w:r>
      <w:r w:rsidRPr="00184E4B">
        <w:rPr>
          <w:rFonts w:cs="Arial"/>
        </w:rPr>
        <w:t xml:space="preserve">2022. It is made up of the </w:t>
      </w:r>
      <w:r>
        <w:rPr>
          <w:rFonts w:cs="Arial"/>
        </w:rPr>
        <w:t xml:space="preserve">Full Council </w:t>
      </w:r>
      <w:r w:rsidRPr="00184E4B">
        <w:rPr>
          <w:rFonts w:cs="Arial"/>
        </w:rPr>
        <w:t xml:space="preserve">2022/23 budget, updated with </w:t>
      </w:r>
      <w:r>
        <w:rPr>
          <w:rFonts w:cs="Arial"/>
        </w:rPr>
        <w:t xml:space="preserve">subsequent </w:t>
      </w:r>
      <w:r w:rsidRPr="00184E4B">
        <w:rPr>
          <w:rFonts w:cs="Arial"/>
        </w:rPr>
        <w:t>cabinet</w:t>
      </w:r>
      <w:r>
        <w:rPr>
          <w:rFonts w:cs="Arial"/>
        </w:rPr>
        <w:t xml:space="preserve"> </w:t>
      </w:r>
      <w:r w:rsidRPr="00184E4B">
        <w:rPr>
          <w:rFonts w:cs="Arial"/>
        </w:rPr>
        <w:t xml:space="preserve">decisions and </w:t>
      </w:r>
      <w:r>
        <w:rPr>
          <w:rFonts w:cs="Arial"/>
        </w:rPr>
        <w:t xml:space="preserve">programme manager </w:t>
      </w:r>
      <w:r w:rsidRPr="00184E4B">
        <w:rPr>
          <w:rFonts w:cs="Arial"/>
        </w:rPr>
        <w:t>reprofiling since June 2022, and an expected delivery amount for prior year schemes</w:t>
      </w:r>
      <w:r>
        <w:rPr>
          <w:rFonts w:cs="Arial"/>
        </w:rPr>
        <w:t xml:space="preserve"> following the end of year report </w:t>
      </w:r>
      <w:proofErr w:type="gramStart"/>
      <w:r>
        <w:rPr>
          <w:rFonts w:cs="Arial"/>
        </w:rPr>
        <w:t>at</w:t>
      </w:r>
      <w:proofErr w:type="gramEnd"/>
      <w:r>
        <w:rPr>
          <w:rFonts w:cs="Arial"/>
        </w:rPr>
        <w:t xml:space="preserve"> March 2022</w:t>
      </w:r>
      <w:r w:rsidRPr="00184E4B">
        <w:rPr>
          <w:rFonts w:cs="Arial"/>
        </w:rPr>
        <w:t xml:space="preserve">. This will </w:t>
      </w:r>
      <w:r>
        <w:rPr>
          <w:rFonts w:cs="Arial"/>
        </w:rPr>
        <w:t xml:space="preserve">now </w:t>
      </w:r>
      <w:r w:rsidRPr="00184E4B">
        <w:rPr>
          <w:rFonts w:cs="Arial"/>
        </w:rPr>
        <w:t>form the basis of the monitoring report</w:t>
      </w:r>
      <w:r>
        <w:rPr>
          <w:rFonts w:cs="Arial"/>
        </w:rPr>
        <w:t>s for the year</w:t>
      </w:r>
      <w:r w:rsidRPr="00184E4B">
        <w:rPr>
          <w:rFonts w:cs="Arial"/>
        </w:rPr>
        <w:t>. The total delivery programme is £222.069m as set out in table 1 below:</w:t>
      </w:r>
    </w:p>
    <w:p w14:paraId="026EED54" w14:textId="77777777" w:rsidR="00381CAD" w:rsidRPr="00184E4B" w:rsidRDefault="00381CAD" w:rsidP="00381CAD">
      <w:pPr>
        <w:spacing w:after="0"/>
        <w:contextualSpacing/>
        <w:rPr>
          <w:rFonts w:cs="Arial"/>
          <w:b/>
        </w:rPr>
      </w:pPr>
    </w:p>
    <w:p w14:paraId="74935248" w14:textId="77777777" w:rsidR="00381CAD" w:rsidRPr="00BF4A8A" w:rsidRDefault="00381CAD" w:rsidP="00381CAD">
      <w:pPr>
        <w:spacing w:after="0"/>
        <w:contextualSpacing/>
        <w:rPr>
          <w:rFonts w:cs="Arial"/>
          <w:b/>
        </w:rPr>
      </w:pPr>
      <w:r w:rsidRPr="00ED635C">
        <w:rPr>
          <w:rFonts w:cs="Arial"/>
          <w:b/>
        </w:rPr>
        <w:t>Table 1 – 2022/23 Capital delivery programme by block</w:t>
      </w:r>
    </w:p>
    <w:p w14:paraId="6FCEA5B0" w14:textId="77777777" w:rsidR="00381CAD" w:rsidRPr="00184E4B" w:rsidRDefault="00381CAD" w:rsidP="00381CAD">
      <w:pPr>
        <w:spacing w:after="0"/>
        <w:contextualSpacing/>
        <w:rPr>
          <w:rFonts w:cs="Arial"/>
        </w:rPr>
      </w:pPr>
    </w:p>
    <w:tbl>
      <w:tblPr>
        <w:tblW w:w="8675" w:type="dxa"/>
        <w:tblLook w:val="04A0" w:firstRow="1" w:lastRow="0" w:firstColumn="1" w:lastColumn="0" w:noHBand="0" w:noVBand="1"/>
      </w:tblPr>
      <w:tblGrid>
        <w:gridCol w:w="3668"/>
        <w:gridCol w:w="1669"/>
        <w:gridCol w:w="1669"/>
        <w:gridCol w:w="1669"/>
      </w:tblGrid>
      <w:tr w:rsidR="00381CAD" w:rsidRPr="00184E4B" w14:paraId="028E48AC" w14:textId="77777777" w:rsidTr="00CB0FFD">
        <w:trPr>
          <w:trHeight w:val="786"/>
        </w:trPr>
        <w:tc>
          <w:tcPr>
            <w:tcW w:w="366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65B735A4" w14:textId="77777777" w:rsidR="00381CAD" w:rsidRPr="00184E4B" w:rsidRDefault="00381CAD" w:rsidP="00CB0FFD">
            <w:pPr>
              <w:spacing w:after="0"/>
              <w:jc w:val="center"/>
              <w:rPr>
                <w:rFonts w:eastAsia="Times New Roman" w:cs="Arial"/>
                <w:b/>
                <w:bCs/>
                <w:lang w:eastAsia="en-GB"/>
              </w:rPr>
            </w:pPr>
            <w:bookmarkStart w:id="2" w:name="_Hlk119404426"/>
            <w:r w:rsidRPr="00184E4B">
              <w:rPr>
                <w:rFonts w:eastAsia="Times New Roman" w:cs="Arial"/>
                <w:b/>
                <w:bCs/>
                <w:lang w:eastAsia="en-GB"/>
              </w:rPr>
              <w:t>Service Area</w:t>
            </w:r>
          </w:p>
        </w:tc>
        <w:tc>
          <w:tcPr>
            <w:tcW w:w="1669" w:type="dxa"/>
            <w:tcBorders>
              <w:top w:val="single" w:sz="8" w:space="0" w:color="auto"/>
              <w:left w:val="nil"/>
              <w:bottom w:val="single" w:sz="8" w:space="0" w:color="auto"/>
              <w:right w:val="single" w:sz="8" w:space="0" w:color="auto"/>
            </w:tcBorders>
            <w:shd w:val="clear" w:color="000000" w:fill="D0CECE"/>
            <w:vAlign w:val="center"/>
            <w:hideMark/>
          </w:tcPr>
          <w:p w14:paraId="4091B336"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Delivery Programme agreed Feb 22</w:t>
            </w:r>
          </w:p>
        </w:tc>
        <w:tc>
          <w:tcPr>
            <w:tcW w:w="1669" w:type="dxa"/>
            <w:tcBorders>
              <w:top w:val="single" w:sz="8" w:space="0" w:color="auto"/>
              <w:left w:val="nil"/>
              <w:bottom w:val="single" w:sz="8" w:space="0" w:color="auto"/>
              <w:right w:val="single" w:sz="8" w:space="0" w:color="auto"/>
            </w:tcBorders>
            <w:shd w:val="clear" w:color="000000" w:fill="D0CECE"/>
            <w:vAlign w:val="center"/>
            <w:hideMark/>
          </w:tcPr>
          <w:p w14:paraId="30950844"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Changes to planned delivery</w:t>
            </w:r>
          </w:p>
        </w:tc>
        <w:tc>
          <w:tcPr>
            <w:tcW w:w="1669" w:type="dxa"/>
            <w:tcBorders>
              <w:top w:val="single" w:sz="8" w:space="0" w:color="auto"/>
              <w:left w:val="nil"/>
              <w:bottom w:val="single" w:sz="8" w:space="0" w:color="auto"/>
              <w:right w:val="single" w:sz="8" w:space="0" w:color="auto"/>
            </w:tcBorders>
            <w:shd w:val="clear" w:color="000000" w:fill="D0CECE"/>
            <w:vAlign w:val="center"/>
            <w:hideMark/>
          </w:tcPr>
          <w:p w14:paraId="606AF6E3"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Total Delivery Plan for Monitoring</w:t>
            </w:r>
          </w:p>
        </w:tc>
      </w:tr>
      <w:tr w:rsidR="00381CAD" w:rsidRPr="00184E4B" w14:paraId="62B12D49" w14:textId="77777777" w:rsidTr="00CB0FFD">
        <w:trPr>
          <w:trHeight w:val="149"/>
        </w:trPr>
        <w:tc>
          <w:tcPr>
            <w:tcW w:w="3668" w:type="dxa"/>
            <w:vMerge/>
            <w:tcBorders>
              <w:top w:val="single" w:sz="8" w:space="0" w:color="auto"/>
              <w:left w:val="single" w:sz="8" w:space="0" w:color="auto"/>
              <w:bottom w:val="single" w:sz="8" w:space="0" w:color="000000"/>
              <w:right w:val="single" w:sz="8" w:space="0" w:color="auto"/>
            </w:tcBorders>
            <w:vAlign w:val="center"/>
            <w:hideMark/>
          </w:tcPr>
          <w:p w14:paraId="278698AC" w14:textId="77777777" w:rsidR="00381CAD" w:rsidRPr="00184E4B" w:rsidRDefault="00381CAD" w:rsidP="00CB0FFD">
            <w:pPr>
              <w:spacing w:after="0"/>
              <w:rPr>
                <w:rFonts w:eastAsia="Times New Roman" w:cs="Arial"/>
                <w:b/>
                <w:bCs/>
                <w:lang w:eastAsia="en-GB"/>
              </w:rPr>
            </w:pPr>
          </w:p>
        </w:tc>
        <w:tc>
          <w:tcPr>
            <w:tcW w:w="1669" w:type="dxa"/>
            <w:tcBorders>
              <w:top w:val="nil"/>
              <w:left w:val="nil"/>
              <w:bottom w:val="single" w:sz="8" w:space="0" w:color="auto"/>
              <w:right w:val="single" w:sz="8" w:space="0" w:color="auto"/>
            </w:tcBorders>
            <w:shd w:val="clear" w:color="000000" w:fill="D0CECE"/>
            <w:vAlign w:val="center"/>
            <w:hideMark/>
          </w:tcPr>
          <w:p w14:paraId="719BBC13"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£m</w:t>
            </w:r>
          </w:p>
        </w:tc>
        <w:tc>
          <w:tcPr>
            <w:tcW w:w="1669" w:type="dxa"/>
            <w:tcBorders>
              <w:top w:val="nil"/>
              <w:left w:val="nil"/>
              <w:bottom w:val="single" w:sz="8" w:space="0" w:color="auto"/>
              <w:right w:val="single" w:sz="8" w:space="0" w:color="auto"/>
            </w:tcBorders>
            <w:shd w:val="clear" w:color="000000" w:fill="D0CECE"/>
            <w:vAlign w:val="center"/>
            <w:hideMark/>
          </w:tcPr>
          <w:p w14:paraId="7E8B2194"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£m</w:t>
            </w:r>
          </w:p>
        </w:tc>
        <w:tc>
          <w:tcPr>
            <w:tcW w:w="1669" w:type="dxa"/>
            <w:tcBorders>
              <w:top w:val="nil"/>
              <w:left w:val="nil"/>
              <w:bottom w:val="single" w:sz="8" w:space="0" w:color="auto"/>
              <w:right w:val="single" w:sz="8" w:space="0" w:color="auto"/>
            </w:tcBorders>
            <w:shd w:val="clear" w:color="000000" w:fill="D0CECE"/>
            <w:vAlign w:val="center"/>
            <w:hideMark/>
          </w:tcPr>
          <w:p w14:paraId="3A94348F" w14:textId="77777777" w:rsidR="00381CAD" w:rsidRPr="00184E4B" w:rsidRDefault="00381CAD" w:rsidP="00CB0FFD">
            <w:pPr>
              <w:spacing w:after="0"/>
              <w:jc w:val="center"/>
              <w:rPr>
                <w:rFonts w:eastAsia="Times New Roman" w:cs="Arial"/>
                <w:b/>
                <w:bCs/>
                <w:lang w:eastAsia="en-GB"/>
              </w:rPr>
            </w:pPr>
            <w:r w:rsidRPr="00184E4B">
              <w:rPr>
                <w:rFonts w:eastAsia="Times New Roman" w:cs="Arial"/>
                <w:b/>
                <w:bCs/>
                <w:lang w:eastAsia="en-GB"/>
              </w:rPr>
              <w:t>£m</w:t>
            </w:r>
          </w:p>
        </w:tc>
      </w:tr>
      <w:tr w:rsidR="00381CAD" w:rsidRPr="00184E4B" w14:paraId="0CD31138"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42233378"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Schools (including DFC)</w:t>
            </w:r>
          </w:p>
        </w:tc>
        <w:tc>
          <w:tcPr>
            <w:tcW w:w="1669" w:type="dxa"/>
            <w:tcBorders>
              <w:top w:val="nil"/>
              <w:left w:val="nil"/>
              <w:bottom w:val="single" w:sz="8" w:space="0" w:color="auto"/>
              <w:right w:val="single" w:sz="8" w:space="0" w:color="auto"/>
            </w:tcBorders>
            <w:shd w:val="clear" w:color="auto" w:fill="auto"/>
            <w:vAlign w:val="center"/>
            <w:hideMark/>
          </w:tcPr>
          <w:p w14:paraId="5B7A564A"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25.738</w:t>
            </w:r>
          </w:p>
        </w:tc>
        <w:tc>
          <w:tcPr>
            <w:tcW w:w="1669" w:type="dxa"/>
            <w:tcBorders>
              <w:top w:val="nil"/>
              <w:left w:val="nil"/>
              <w:bottom w:val="single" w:sz="8" w:space="0" w:color="auto"/>
              <w:right w:val="single" w:sz="8" w:space="0" w:color="auto"/>
            </w:tcBorders>
            <w:shd w:val="clear" w:color="auto" w:fill="auto"/>
            <w:vAlign w:val="center"/>
            <w:hideMark/>
          </w:tcPr>
          <w:p w14:paraId="7F4D2A99"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1.372</w:t>
            </w:r>
          </w:p>
        </w:tc>
        <w:tc>
          <w:tcPr>
            <w:tcW w:w="1669" w:type="dxa"/>
            <w:tcBorders>
              <w:top w:val="nil"/>
              <w:left w:val="nil"/>
              <w:bottom w:val="single" w:sz="8" w:space="0" w:color="auto"/>
              <w:right w:val="single" w:sz="8" w:space="0" w:color="auto"/>
            </w:tcBorders>
            <w:shd w:val="clear" w:color="auto" w:fill="auto"/>
            <w:vAlign w:val="center"/>
            <w:hideMark/>
          </w:tcPr>
          <w:p w14:paraId="4E6827FE"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27.110</w:t>
            </w:r>
          </w:p>
        </w:tc>
      </w:tr>
      <w:tr w:rsidR="00381CAD" w:rsidRPr="00184E4B" w14:paraId="423835B8"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184851EF"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Highways</w:t>
            </w:r>
          </w:p>
        </w:tc>
        <w:tc>
          <w:tcPr>
            <w:tcW w:w="1669" w:type="dxa"/>
            <w:tcBorders>
              <w:top w:val="nil"/>
              <w:left w:val="nil"/>
              <w:bottom w:val="single" w:sz="8" w:space="0" w:color="auto"/>
              <w:right w:val="single" w:sz="8" w:space="0" w:color="auto"/>
            </w:tcBorders>
            <w:shd w:val="clear" w:color="auto" w:fill="auto"/>
            <w:vAlign w:val="center"/>
            <w:hideMark/>
          </w:tcPr>
          <w:p w14:paraId="297C0755"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50.258</w:t>
            </w:r>
          </w:p>
        </w:tc>
        <w:tc>
          <w:tcPr>
            <w:tcW w:w="1669" w:type="dxa"/>
            <w:tcBorders>
              <w:top w:val="nil"/>
              <w:left w:val="nil"/>
              <w:bottom w:val="single" w:sz="8" w:space="0" w:color="auto"/>
              <w:right w:val="single" w:sz="8" w:space="0" w:color="auto"/>
            </w:tcBorders>
            <w:shd w:val="clear" w:color="auto" w:fill="auto"/>
            <w:vAlign w:val="center"/>
            <w:hideMark/>
          </w:tcPr>
          <w:p w14:paraId="163202A0"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-0.296</w:t>
            </w:r>
          </w:p>
        </w:tc>
        <w:tc>
          <w:tcPr>
            <w:tcW w:w="1669" w:type="dxa"/>
            <w:tcBorders>
              <w:top w:val="nil"/>
              <w:left w:val="nil"/>
              <w:bottom w:val="single" w:sz="8" w:space="0" w:color="auto"/>
              <w:right w:val="single" w:sz="8" w:space="0" w:color="auto"/>
            </w:tcBorders>
            <w:shd w:val="clear" w:color="auto" w:fill="auto"/>
            <w:vAlign w:val="center"/>
            <w:hideMark/>
          </w:tcPr>
          <w:p w14:paraId="179B7730"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49.962</w:t>
            </w:r>
          </w:p>
        </w:tc>
      </w:tr>
      <w:tr w:rsidR="00381CAD" w:rsidRPr="00184E4B" w14:paraId="4BC8F271"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0171A00D"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Transport</w:t>
            </w:r>
          </w:p>
        </w:tc>
        <w:tc>
          <w:tcPr>
            <w:tcW w:w="1669" w:type="dxa"/>
            <w:tcBorders>
              <w:top w:val="nil"/>
              <w:left w:val="nil"/>
              <w:bottom w:val="single" w:sz="8" w:space="0" w:color="auto"/>
              <w:right w:val="single" w:sz="8" w:space="0" w:color="auto"/>
            </w:tcBorders>
            <w:shd w:val="clear" w:color="auto" w:fill="auto"/>
            <w:vAlign w:val="center"/>
            <w:hideMark/>
          </w:tcPr>
          <w:p w14:paraId="7F15BBC8"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23.591</w:t>
            </w:r>
          </w:p>
        </w:tc>
        <w:tc>
          <w:tcPr>
            <w:tcW w:w="1669" w:type="dxa"/>
            <w:tcBorders>
              <w:top w:val="nil"/>
              <w:left w:val="nil"/>
              <w:bottom w:val="single" w:sz="8" w:space="0" w:color="auto"/>
              <w:right w:val="single" w:sz="8" w:space="0" w:color="auto"/>
            </w:tcBorders>
            <w:shd w:val="clear" w:color="auto" w:fill="auto"/>
            <w:vAlign w:val="center"/>
            <w:hideMark/>
          </w:tcPr>
          <w:p w14:paraId="7FD1D62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0.003</w:t>
            </w:r>
          </w:p>
        </w:tc>
        <w:tc>
          <w:tcPr>
            <w:tcW w:w="1669" w:type="dxa"/>
            <w:tcBorders>
              <w:top w:val="nil"/>
              <w:left w:val="nil"/>
              <w:bottom w:val="single" w:sz="8" w:space="0" w:color="auto"/>
              <w:right w:val="single" w:sz="8" w:space="0" w:color="auto"/>
            </w:tcBorders>
            <w:shd w:val="clear" w:color="auto" w:fill="auto"/>
            <w:vAlign w:val="center"/>
            <w:hideMark/>
          </w:tcPr>
          <w:p w14:paraId="30125EB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23.594</w:t>
            </w:r>
          </w:p>
        </w:tc>
      </w:tr>
      <w:tr w:rsidR="00381CAD" w:rsidRPr="00184E4B" w14:paraId="507EB156"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7709AFF7"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Externally Funded Schemes</w:t>
            </w:r>
          </w:p>
        </w:tc>
        <w:tc>
          <w:tcPr>
            <w:tcW w:w="1669" w:type="dxa"/>
            <w:tcBorders>
              <w:top w:val="nil"/>
              <w:left w:val="nil"/>
              <w:bottom w:val="single" w:sz="8" w:space="0" w:color="auto"/>
              <w:right w:val="single" w:sz="8" w:space="0" w:color="auto"/>
            </w:tcBorders>
            <w:shd w:val="clear" w:color="auto" w:fill="auto"/>
            <w:vAlign w:val="center"/>
            <w:hideMark/>
          </w:tcPr>
          <w:p w14:paraId="49B08B8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1.804</w:t>
            </w:r>
          </w:p>
        </w:tc>
        <w:tc>
          <w:tcPr>
            <w:tcW w:w="1669" w:type="dxa"/>
            <w:tcBorders>
              <w:top w:val="nil"/>
              <w:left w:val="nil"/>
              <w:bottom w:val="single" w:sz="8" w:space="0" w:color="auto"/>
              <w:right w:val="single" w:sz="8" w:space="0" w:color="auto"/>
            </w:tcBorders>
            <w:shd w:val="clear" w:color="auto" w:fill="auto"/>
            <w:vAlign w:val="center"/>
            <w:hideMark/>
          </w:tcPr>
          <w:p w14:paraId="14E6343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0.213</w:t>
            </w:r>
          </w:p>
        </w:tc>
        <w:tc>
          <w:tcPr>
            <w:tcW w:w="1669" w:type="dxa"/>
            <w:tcBorders>
              <w:top w:val="nil"/>
              <w:left w:val="nil"/>
              <w:bottom w:val="single" w:sz="8" w:space="0" w:color="auto"/>
              <w:right w:val="single" w:sz="8" w:space="0" w:color="auto"/>
            </w:tcBorders>
            <w:shd w:val="clear" w:color="auto" w:fill="auto"/>
            <w:vAlign w:val="center"/>
            <w:hideMark/>
          </w:tcPr>
          <w:p w14:paraId="5E6E8204"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2.017</w:t>
            </w:r>
          </w:p>
        </w:tc>
      </w:tr>
      <w:tr w:rsidR="00381CAD" w:rsidRPr="00184E4B" w14:paraId="03719477"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276620F0"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Central Systems &amp; ICT</w:t>
            </w:r>
          </w:p>
        </w:tc>
        <w:tc>
          <w:tcPr>
            <w:tcW w:w="1669" w:type="dxa"/>
            <w:tcBorders>
              <w:top w:val="nil"/>
              <w:left w:val="nil"/>
              <w:bottom w:val="single" w:sz="8" w:space="0" w:color="auto"/>
              <w:right w:val="single" w:sz="8" w:space="0" w:color="auto"/>
            </w:tcBorders>
            <w:shd w:val="clear" w:color="auto" w:fill="auto"/>
            <w:vAlign w:val="center"/>
            <w:hideMark/>
          </w:tcPr>
          <w:p w14:paraId="140A51D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5.187</w:t>
            </w:r>
          </w:p>
        </w:tc>
        <w:tc>
          <w:tcPr>
            <w:tcW w:w="1669" w:type="dxa"/>
            <w:tcBorders>
              <w:top w:val="nil"/>
              <w:left w:val="nil"/>
              <w:bottom w:val="single" w:sz="8" w:space="0" w:color="auto"/>
              <w:right w:val="single" w:sz="8" w:space="0" w:color="auto"/>
            </w:tcBorders>
            <w:shd w:val="clear" w:color="auto" w:fill="auto"/>
            <w:vAlign w:val="center"/>
            <w:hideMark/>
          </w:tcPr>
          <w:p w14:paraId="6AF32103"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8.802</w:t>
            </w:r>
          </w:p>
        </w:tc>
        <w:tc>
          <w:tcPr>
            <w:tcW w:w="1669" w:type="dxa"/>
            <w:tcBorders>
              <w:top w:val="nil"/>
              <w:left w:val="nil"/>
              <w:bottom w:val="single" w:sz="8" w:space="0" w:color="auto"/>
              <w:right w:val="single" w:sz="8" w:space="0" w:color="auto"/>
            </w:tcBorders>
            <w:shd w:val="clear" w:color="auto" w:fill="auto"/>
            <w:vAlign w:val="center"/>
            <w:hideMark/>
          </w:tcPr>
          <w:p w14:paraId="0C4663D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13.989</w:t>
            </w:r>
          </w:p>
        </w:tc>
      </w:tr>
      <w:tr w:rsidR="00381CAD" w:rsidRPr="00184E4B" w14:paraId="2DDF58A7"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37594CC8"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Adult Social Care</w:t>
            </w:r>
          </w:p>
        </w:tc>
        <w:tc>
          <w:tcPr>
            <w:tcW w:w="1669" w:type="dxa"/>
            <w:tcBorders>
              <w:top w:val="nil"/>
              <w:left w:val="nil"/>
              <w:bottom w:val="single" w:sz="8" w:space="0" w:color="auto"/>
              <w:right w:val="single" w:sz="8" w:space="0" w:color="auto"/>
            </w:tcBorders>
            <w:shd w:val="clear" w:color="auto" w:fill="auto"/>
            <w:vAlign w:val="center"/>
            <w:hideMark/>
          </w:tcPr>
          <w:p w14:paraId="77E36D4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16.000</w:t>
            </w:r>
          </w:p>
        </w:tc>
        <w:tc>
          <w:tcPr>
            <w:tcW w:w="1669" w:type="dxa"/>
            <w:tcBorders>
              <w:top w:val="nil"/>
              <w:left w:val="nil"/>
              <w:bottom w:val="single" w:sz="8" w:space="0" w:color="auto"/>
              <w:right w:val="single" w:sz="8" w:space="0" w:color="auto"/>
            </w:tcBorders>
            <w:shd w:val="clear" w:color="auto" w:fill="auto"/>
            <w:vAlign w:val="center"/>
            <w:hideMark/>
          </w:tcPr>
          <w:p w14:paraId="6AE4D1E0"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1.255</w:t>
            </w:r>
          </w:p>
        </w:tc>
        <w:tc>
          <w:tcPr>
            <w:tcW w:w="1669" w:type="dxa"/>
            <w:tcBorders>
              <w:top w:val="nil"/>
              <w:left w:val="nil"/>
              <w:bottom w:val="single" w:sz="8" w:space="0" w:color="auto"/>
              <w:right w:val="single" w:sz="8" w:space="0" w:color="auto"/>
            </w:tcBorders>
            <w:shd w:val="clear" w:color="auto" w:fill="auto"/>
            <w:vAlign w:val="center"/>
            <w:hideMark/>
          </w:tcPr>
          <w:p w14:paraId="6754737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17.255</w:t>
            </w:r>
          </w:p>
        </w:tc>
      </w:tr>
      <w:tr w:rsidR="00381CAD" w:rsidRPr="00184E4B" w14:paraId="2B7D3AA3"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6C58DB21"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Corporate - Property</w:t>
            </w:r>
          </w:p>
        </w:tc>
        <w:tc>
          <w:tcPr>
            <w:tcW w:w="1669" w:type="dxa"/>
            <w:tcBorders>
              <w:top w:val="nil"/>
              <w:left w:val="nil"/>
              <w:bottom w:val="single" w:sz="8" w:space="0" w:color="auto"/>
              <w:right w:val="single" w:sz="8" w:space="0" w:color="auto"/>
            </w:tcBorders>
            <w:shd w:val="clear" w:color="auto" w:fill="auto"/>
            <w:vAlign w:val="center"/>
            <w:hideMark/>
          </w:tcPr>
          <w:p w14:paraId="27DB6060"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20.211</w:t>
            </w:r>
          </w:p>
        </w:tc>
        <w:tc>
          <w:tcPr>
            <w:tcW w:w="1669" w:type="dxa"/>
            <w:tcBorders>
              <w:top w:val="nil"/>
              <w:left w:val="nil"/>
              <w:bottom w:val="single" w:sz="8" w:space="0" w:color="auto"/>
              <w:right w:val="single" w:sz="8" w:space="0" w:color="auto"/>
            </w:tcBorders>
            <w:shd w:val="clear" w:color="auto" w:fill="auto"/>
            <w:vAlign w:val="center"/>
            <w:hideMark/>
          </w:tcPr>
          <w:p w14:paraId="260CFF32"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2.074</w:t>
            </w:r>
          </w:p>
        </w:tc>
        <w:tc>
          <w:tcPr>
            <w:tcW w:w="1669" w:type="dxa"/>
            <w:tcBorders>
              <w:top w:val="nil"/>
              <w:left w:val="nil"/>
              <w:bottom w:val="single" w:sz="8" w:space="0" w:color="auto"/>
              <w:right w:val="single" w:sz="8" w:space="0" w:color="auto"/>
            </w:tcBorders>
            <w:shd w:val="clear" w:color="auto" w:fill="auto"/>
            <w:vAlign w:val="center"/>
            <w:hideMark/>
          </w:tcPr>
          <w:p w14:paraId="5BA6DD1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22.285</w:t>
            </w:r>
          </w:p>
        </w:tc>
      </w:tr>
      <w:tr w:rsidR="00381CAD" w:rsidRPr="00184E4B" w14:paraId="1786479C"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7E3F5348"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Economic Development</w:t>
            </w:r>
          </w:p>
        </w:tc>
        <w:tc>
          <w:tcPr>
            <w:tcW w:w="1669" w:type="dxa"/>
            <w:tcBorders>
              <w:top w:val="nil"/>
              <w:left w:val="nil"/>
              <w:bottom w:val="single" w:sz="8" w:space="0" w:color="auto"/>
              <w:right w:val="single" w:sz="8" w:space="0" w:color="auto"/>
            </w:tcBorders>
            <w:shd w:val="clear" w:color="auto" w:fill="auto"/>
            <w:vAlign w:val="center"/>
            <w:hideMark/>
          </w:tcPr>
          <w:p w14:paraId="5E6AE9B7"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42.526</w:t>
            </w:r>
          </w:p>
        </w:tc>
        <w:tc>
          <w:tcPr>
            <w:tcW w:w="1669" w:type="dxa"/>
            <w:tcBorders>
              <w:top w:val="nil"/>
              <w:left w:val="nil"/>
              <w:bottom w:val="single" w:sz="8" w:space="0" w:color="auto"/>
              <w:right w:val="single" w:sz="8" w:space="0" w:color="auto"/>
            </w:tcBorders>
            <w:shd w:val="clear" w:color="auto" w:fill="auto"/>
            <w:vAlign w:val="center"/>
            <w:hideMark/>
          </w:tcPr>
          <w:p w14:paraId="4694F55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-0.959</w:t>
            </w:r>
          </w:p>
        </w:tc>
        <w:tc>
          <w:tcPr>
            <w:tcW w:w="1669" w:type="dxa"/>
            <w:tcBorders>
              <w:top w:val="nil"/>
              <w:left w:val="nil"/>
              <w:bottom w:val="single" w:sz="8" w:space="0" w:color="auto"/>
              <w:right w:val="single" w:sz="8" w:space="0" w:color="auto"/>
            </w:tcBorders>
            <w:shd w:val="clear" w:color="auto" w:fill="auto"/>
            <w:vAlign w:val="center"/>
            <w:hideMark/>
          </w:tcPr>
          <w:p w14:paraId="5B95A921"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41.567</w:t>
            </w:r>
          </w:p>
        </w:tc>
      </w:tr>
      <w:tr w:rsidR="00381CAD" w:rsidRPr="00184E4B" w14:paraId="2DFA4CD4"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1575DF60"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South Lancaster Growth Catalyst</w:t>
            </w:r>
          </w:p>
        </w:tc>
        <w:tc>
          <w:tcPr>
            <w:tcW w:w="1669" w:type="dxa"/>
            <w:tcBorders>
              <w:top w:val="nil"/>
              <w:left w:val="nil"/>
              <w:bottom w:val="single" w:sz="8" w:space="0" w:color="auto"/>
              <w:right w:val="single" w:sz="8" w:space="0" w:color="auto"/>
            </w:tcBorders>
            <w:shd w:val="clear" w:color="auto" w:fill="auto"/>
            <w:vAlign w:val="center"/>
            <w:hideMark/>
          </w:tcPr>
          <w:p w14:paraId="66072616"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3.258</w:t>
            </w:r>
          </w:p>
        </w:tc>
        <w:tc>
          <w:tcPr>
            <w:tcW w:w="1669" w:type="dxa"/>
            <w:tcBorders>
              <w:top w:val="nil"/>
              <w:left w:val="nil"/>
              <w:bottom w:val="single" w:sz="8" w:space="0" w:color="auto"/>
              <w:right w:val="single" w:sz="8" w:space="0" w:color="auto"/>
            </w:tcBorders>
            <w:shd w:val="clear" w:color="auto" w:fill="auto"/>
            <w:vAlign w:val="center"/>
            <w:hideMark/>
          </w:tcPr>
          <w:p w14:paraId="3B4D0D62"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1.570</w:t>
            </w:r>
          </w:p>
        </w:tc>
        <w:tc>
          <w:tcPr>
            <w:tcW w:w="1669" w:type="dxa"/>
            <w:tcBorders>
              <w:top w:val="nil"/>
              <w:left w:val="nil"/>
              <w:bottom w:val="single" w:sz="8" w:space="0" w:color="auto"/>
              <w:right w:val="single" w:sz="8" w:space="0" w:color="auto"/>
            </w:tcBorders>
            <w:shd w:val="clear" w:color="auto" w:fill="auto"/>
            <w:vAlign w:val="center"/>
            <w:hideMark/>
          </w:tcPr>
          <w:p w14:paraId="160737F4"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4.828</w:t>
            </w:r>
          </w:p>
        </w:tc>
      </w:tr>
      <w:tr w:rsidR="00381CAD" w:rsidRPr="00184E4B" w14:paraId="79E03FA7"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76623BE7"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Vehicles</w:t>
            </w:r>
          </w:p>
        </w:tc>
        <w:tc>
          <w:tcPr>
            <w:tcW w:w="1669" w:type="dxa"/>
            <w:tcBorders>
              <w:top w:val="nil"/>
              <w:left w:val="nil"/>
              <w:bottom w:val="single" w:sz="8" w:space="0" w:color="auto"/>
              <w:right w:val="single" w:sz="8" w:space="0" w:color="auto"/>
            </w:tcBorders>
            <w:shd w:val="clear" w:color="auto" w:fill="auto"/>
            <w:vAlign w:val="center"/>
            <w:hideMark/>
          </w:tcPr>
          <w:p w14:paraId="31A0F36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4.441</w:t>
            </w:r>
          </w:p>
        </w:tc>
        <w:tc>
          <w:tcPr>
            <w:tcW w:w="1669" w:type="dxa"/>
            <w:tcBorders>
              <w:top w:val="nil"/>
              <w:left w:val="nil"/>
              <w:bottom w:val="single" w:sz="8" w:space="0" w:color="auto"/>
              <w:right w:val="single" w:sz="8" w:space="0" w:color="auto"/>
            </w:tcBorders>
            <w:shd w:val="clear" w:color="000000" w:fill="FFFFFF"/>
            <w:vAlign w:val="center"/>
            <w:hideMark/>
          </w:tcPr>
          <w:p w14:paraId="06A73C4C"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-0.229</w:t>
            </w:r>
          </w:p>
        </w:tc>
        <w:tc>
          <w:tcPr>
            <w:tcW w:w="1669" w:type="dxa"/>
            <w:tcBorders>
              <w:top w:val="nil"/>
              <w:left w:val="nil"/>
              <w:bottom w:val="single" w:sz="8" w:space="0" w:color="auto"/>
              <w:right w:val="single" w:sz="8" w:space="0" w:color="auto"/>
            </w:tcBorders>
            <w:shd w:val="clear" w:color="auto" w:fill="auto"/>
            <w:vAlign w:val="center"/>
            <w:hideMark/>
          </w:tcPr>
          <w:p w14:paraId="58C0DCB7"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4.212</w:t>
            </w:r>
          </w:p>
        </w:tc>
      </w:tr>
      <w:tr w:rsidR="00381CAD" w:rsidRPr="00184E4B" w14:paraId="33B54857"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2AF6EE71" w14:textId="77777777" w:rsidR="00381CAD" w:rsidRPr="00184E4B" w:rsidRDefault="00381CAD" w:rsidP="00CB0FFD">
            <w:pPr>
              <w:spacing w:after="0"/>
              <w:rPr>
                <w:rFonts w:eastAsia="Times New Roman" w:cs="Arial"/>
                <w:lang w:eastAsia="en-GB"/>
              </w:rPr>
            </w:pPr>
            <w:r w:rsidRPr="00184E4B">
              <w:rPr>
                <w:rFonts w:eastAsia="Times New Roman" w:cs="Arial"/>
                <w:lang w:eastAsia="en-GB"/>
              </w:rPr>
              <w:t>Transforming Cities Fund</w:t>
            </w:r>
          </w:p>
        </w:tc>
        <w:tc>
          <w:tcPr>
            <w:tcW w:w="1669" w:type="dxa"/>
            <w:tcBorders>
              <w:top w:val="nil"/>
              <w:left w:val="nil"/>
              <w:bottom w:val="single" w:sz="8" w:space="0" w:color="auto"/>
              <w:right w:val="single" w:sz="8" w:space="0" w:color="auto"/>
            </w:tcBorders>
            <w:shd w:val="clear" w:color="auto" w:fill="auto"/>
            <w:vAlign w:val="center"/>
            <w:hideMark/>
          </w:tcPr>
          <w:p w14:paraId="5E2639CB"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15.250</w:t>
            </w:r>
          </w:p>
        </w:tc>
        <w:tc>
          <w:tcPr>
            <w:tcW w:w="1669" w:type="dxa"/>
            <w:tcBorders>
              <w:top w:val="nil"/>
              <w:left w:val="nil"/>
              <w:bottom w:val="single" w:sz="8" w:space="0" w:color="auto"/>
              <w:right w:val="single" w:sz="8" w:space="0" w:color="auto"/>
            </w:tcBorders>
            <w:shd w:val="clear" w:color="auto" w:fill="auto"/>
            <w:vAlign w:val="center"/>
            <w:hideMark/>
          </w:tcPr>
          <w:p w14:paraId="7B840B4A"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0.000</w:t>
            </w:r>
          </w:p>
        </w:tc>
        <w:tc>
          <w:tcPr>
            <w:tcW w:w="1669" w:type="dxa"/>
            <w:tcBorders>
              <w:top w:val="nil"/>
              <w:left w:val="nil"/>
              <w:bottom w:val="single" w:sz="8" w:space="0" w:color="auto"/>
              <w:right w:val="single" w:sz="8" w:space="0" w:color="auto"/>
            </w:tcBorders>
            <w:shd w:val="clear" w:color="auto" w:fill="auto"/>
            <w:vAlign w:val="center"/>
            <w:hideMark/>
          </w:tcPr>
          <w:p w14:paraId="13B22154" w14:textId="77777777" w:rsidR="00381CAD" w:rsidRPr="00184E4B" w:rsidRDefault="00381CAD" w:rsidP="00CB0FFD">
            <w:pPr>
              <w:spacing w:after="0"/>
              <w:jc w:val="right"/>
              <w:rPr>
                <w:rFonts w:eastAsia="Times New Roman" w:cs="Arial"/>
                <w:lang w:eastAsia="en-GB"/>
              </w:rPr>
            </w:pPr>
            <w:r w:rsidRPr="00184E4B">
              <w:rPr>
                <w:rFonts w:eastAsia="Times New Roman" w:cs="Arial"/>
                <w:lang w:eastAsia="en-GB"/>
              </w:rPr>
              <w:t>15.250</w:t>
            </w:r>
          </w:p>
        </w:tc>
      </w:tr>
      <w:tr w:rsidR="00381CAD" w:rsidRPr="00184E4B" w14:paraId="322BAA36" w14:textId="77777777" w:rsidTr="00CB0FFD">
        <w:trPr>
          <w:trHeight w:val="269"/>
        </w:trPr>
        <w:tc>
          <w:tcPr>
            <w:tcW w:w="3668" w:type="dxa"/>
            <w:tcBorders>
              <w:top w:val="nil"/>
              <w:left w:val="single" w:sz="8" w:space="0" w:color="auto"/>
              <w:bottom w:val="single" w:sz="8" w:space="0" w:color="auto"/>
              <w:right w:val="single" w:sz="8" w:space="0" w:color="auto"/>
            </w:tcBorders>
            <w:shd w:val="clear" w:color="auto" w:fill="auto"/>
            <w:vAlign w:val="center"/>
            <w:hideMark/>
          </w:tcPr>
          <w:p w14:paraId="4CA50D9E" w14:textId="77777777" w:rsidR="00381CAD" w:rsidRPr="00184E4B" w:rsidRDefault="00381CAD" w:rsidP="00CB0FFD">
            <w:pPr>
              <w:spacing w:after="0"/>
              <w:rPr>
                <w:rFonts w:eastAsia="Times New Roman" w:cs="Arial"/>
                <w:b/>
                <w:bCs/>
                <w:lang w:eastAsia="en-GB"/>
              </w:rPr>
            </w:pPr>
            <w:r w:rsidRPr="00184E4B">
              <w:rPr>
                <w:rFonts w:eastAsia="Times New Roman" w:cs="Arial"/>
                <w:b/>
                <w:bCs/>
                <w:lang w:eastAsia="en-GB"/>
              </w:rPr>
              <w:t>Grand Total</w:t>
            </w:r>
          </w:p>
        </w:tc>
        <w:tc>
          <w:tcPr>
            <w:tcW w:w="1669" w:type="dxa"/>
            <w:tcBorders>
              <w:top w:val="nil"/>
              <w:left w:val="nil"/>
              <w:bottom w:val="single" w:sz="8" w:space="0" w:color="auto"/>
              <w:right w:val="single" w:sz="8" w:space="0" w:color="auto"/>
            </w:tcBorders>
            <w:shd w:val="clear" w:color="auto" w:fill="auto"/>
            <w:vAlign w:val="center"/>
            <w:hideMark/>
          </w:tcPr>
          <w:p w14:paraId="73084255" w14:textId="77777777" w:rsidR="00381CAD" w:rsidRPr="00184E4B" w:rsidRDefault="00381CAD" w:rsidP="00CB0FFD">
            <w:pPr>
              <w:spacing w:after="0"/>
              <w:jc w:val="right"/>
              <w:rPr>
                <w:rFonts w:eastAsia="Times New Roman" w:cs="Arial"/>
                <w:b/>
                <w:bCs/>
                <w:lang w:eastAsia="en-GB"/>
              </w:rPr>
            </w:pPr>
            <w:r w:rsidRPr="00184E4B">
              <w:rPr>
                <w:rFonts w:eastAsia="Times New Roman" w:cs="Arial"/>
                <w:b/>
                <w:bCs/>
                <w:lang w:eastAsia="en-GB"/>
              </w:rPr>
              <w:t>208.263</w:t>
            </w:r>
          </w:p>
        </w:tc>
        <w:tc>
          <w:tcPr>
            <w:tcW w:w="1669" w:type="dxa"/>
            <w:tcBorders>
              <w:top w:val="nil"/>
              <w:left w:val="nil"/>
              <w:bottom w:val="single" w:sz="8" w:space="0" w:color="auto"/>
              <w:right w:val="single" w:sz="8" w:space="0" w:color="auto"/>
            </w:tcBorders>
            <w:shd w:val="clear" w:color="auto" w:fill="auto"/>
            <w:vAlign w:val="center"/>
            <w:hideMark/>
          </w:tcPr>
          <w:p w14:paraId="1EE5B237" w14:textId="77777777" w:rsidR="00381CAD" w:rsidRPr="00184E4B" w:rsidRDefault="00381CAD" w:rsidP="00CB0FFD">
            <w:pPr>
              <w:spacing w:after="0"/>
              <w:jc w:val="right"/>
              <w:rPr>
                <w:rFonts w:eastAsia="Times New Roman" w:cs="Arial"/>
                <w:b/>
                <w:bCs/>
                <w:lang w:eastAsia="en-GB"/>
              </w:rPr>
            </w:pPr>
            <w:r w:rsidRPr="00184E4B">
              <w:rPr>
                <w:rFonts w:eastAsia="Times New Roman" w:cs="Arial"/>
                <w:b/>
                <w:bCs/>
                <w:lang w:eastAsia="en-GB"/>
              </w:rPr>
              <w:t>13.806</w:t>
            </w:r>
          </w:p>
        </w:tc>
        <w:tc>
          <w:tcPr>
            <w:tcW w:w="1669" w:type="dxa"/>
            <w:tcBorders>
              <w:top w:val="nil"/>
              <w:left w:val="nil"/>
              <w:bottom w:val="single" w:sz="8" w:space="0" w:color="auto"/>
              <w:right w:val="single" w:sz="8" w:space="0" w:color="auto"/>
            </w:tcBorders>
            <w:shd w:val="clear" w:color="auto" w:fill="auto"/>
            <w:vAlign w:val="center"/>
            <w:hideMark/>
          </w:tcPr>
          <w:p w14:paraId="6CF29ADB" w14:textId="77777777" w:rsidR="00381CAD" w:rsidRPr="00184E4B" w:rsidRDefault="00381CAD" w:rsidP="00CB0FFD">
            <w:pPr>
              <w:spacing w:after="0"/>
              <w:jc w:val="right"/>
              <w:rPr>
                <w:rFonts w:eastAsia="Times New Roman" w:cs="Arial"/>
                <w:b/>
                <w:bCs/>
                <w:lang w:eastAsia="en-GB"/>
              </w:rPr>
            </w:pPr>
            <w:r w:rsidRPr="00184E4B">
              <w:rPr>
                <w:rFonts w:eastAsia="Times New Roman" w:cs="Arial"/>
                <w:b/>
                <w:bCs/>
                <w:lang w:eastAsia="en-GB"/>
              </w:rPr>
              <w:t>222.069</w:t>
            </w:r>
          </w:p>
        </w:tc>
      </w:tr>
      <w:bookmarkEnd w:id="2"/>
    </w:tbl>
    <w:p w14:paraId="502DADC3" w14:textId="77777777" w:rsidR="00381CAD" w:rsidRPr="00BF4A8A" w:rsidRDefault="00381CAD" w:rsidP="00381CAD">
      <w:pPr>
        <w:spacing w:after="0"/>
        <w:contextualSpacing/>
        <w:rPr>
          <w:rFonts w:cs="Arial"/>
          <w:b/>
        </w:rPr>
      </w:pPr>
    </w:p>
    <w:p w14:paraId="036FEB02" w14:textId="3C891329" w:rsidR="00381CAD" w:rsidRDefault="00381CAD" w:rsidP="00381CAD">
      <w:pPr>
        <w:spacing w:after="0"/>
        <w:contextualSpacing/>
        <w:rPr>
          <w:rFonts w:cs="Arial"/>
          <w:b/>
        </w:rPr>
      </w:pPr>
    </w:p>
    <w:p w14:paraId="71B0E2CF" w14:textId="29FA1404" w:rsidR="00381CAD" w:rsidRDefault="00381CAD" w:rsidP="00381CAD">
      <w:pPr>
        <w:spacing w:after="0"/>
        <w:contextualSpacing/>
        <w:rPr>
          <w:rFonts w:cs="Arial"/>
          <w:b/>
        </w:rPr>
      </w:pPr>
    </w:p>
    <w:p w14:paraId="79DE97D2" w14:textId="6B73403C" w:rsidR="00381CAD" w:rsidRDefault="00381CAD" w:rsidP="00381CAD">
      <w:pPr>
        <w:spacing w:after="0"/>
        <w:contextualSpacing/>
        <w:rPr>
          <w:rFonts w:cs="Arial"/>
          <w:b/>
        </w:rPr>
      </w:pPr>
    </w:p>
    <w:p w14:paraId="3F741BD5" w14:textId="645C92B8" w:rsidR="00381CAD" w:rsidRDefault="00381CAD" w:rsidP="00381CAD">
      <w:pPr>
        <w:spacing w:after="0"/>
        <w:contextualSpacing/>
        <w:rPr>
          <w:rFonts w:cs="Arial"/>
          <w:b/>
        </w:rPr>
      </w:pPr>
    </w:p>
    <w:p w14:paraId="4E757C9A" w14:textId="0C39FF08" w:rsidR="00381CAD" w:rsidRDefault="00381CAD" w:rsidP="00381CAD">
      <w:pPr>
        <w:spacing w:after="0"/>
        <w:contextualSpacing/>
        <w:rPr>
          <w:rFonts w:cs="Arial"/>
          <w:b/>
        </w:rPr>
      </w:pPr>
    </w:p>
    <w:p w14:paraId="27F99CA4" w14:textId="2DFB050A" w:rsidR="00381CAD" w:rsidRDefault="00381CAD" w:rsidP="00381CAD">
      <w:pPr>
        <w:spacing w:after="0"/>
        <w:contextualSpacing/>
        <w:rPr>
          <w:rFonts w:cs="Arial"/>
          <w:b/>
        </w:rPr>
      </w:pPr>
    </w:p>
    <w:p w14:paraId="11FD12B9" w14:textId="34C3FEA0" w:rsidR="00381CAD" w:rsidRDefault="00381CAD" w:rsidP="00381CAD">
      <w:pPr>
        <w:spacing w:after="0"/>
        <w:contextualSpacing/>
        <w:rPr>
          <w:rFonts w:cs="Arial"/>
          <w:b/>
        </w:rPr>
      </w:pPr>
    </w:p>
    <w:p w14:paraId="5E0C1B89" w14:textId="118947B1" w:rsidR="00381CAD" w:rsidRDefault="00381CAD" w:rsidP="00381CAD">
      <w:pPr>
        <w:spacing w:after="0"/>
        <w:contextualSpacing/>
        <w:rPr>
          <w:rFonts w:cs="Arial"/>
          <w:b/>
        </w:rPr>
      </w:pPr>
    </w:p>
    <w:p w14:paraId="5A8FFA83" w14:textId="608A49AE" w:rsidR="00381CAD" w:rsidRDefault="00381CAD" w:rsidP="00381CAD">
      <w:pPr>
        <w:spacing w:after="0"/>
        <w:contextualSpacing/>
        <w:rPr>
          <w:rFonts w:cs="Arial"/>
          <w:b/>
        </w:rPr>
      </w:pPr>
    </w:p>
    <w:p w14:paraId="34398D1A" w14:textId="1EE6DFB6" w:rsidR="00381CAD" w:rsidRDefault="00381CAD" w:rsidP="00381CAD">
      <w:pPr>
        <w:spacing w:after="0"/>
        <w:contextualSpacing/>
        <w:rPr>
          <w:rFonts w:cs="Arial"/>
          <w:b/>
        </w:rPr>
      </w:pPr>
    </w:p>
    <w:p w14:paraId="1A21049D" w14:textId="7FBAB70D" w:rsidR="00381CAD" w:rsidRDefault="00381CAD" w:rsidP="00381CAD">
      <w:pPr>
        <w:spacing w:after="0"/>
        <w:contextualSpacing/>
        <w:rPr>
          <w:rFonts w:cs="Arial"/>
          <w:b/>
        </w:rPr>
      </w:pPr>
    </w:p>
    <w:p w14:paraId="390D5A85" w14:textId="50567044" w:rsidR="00381CAD" w:rsidRDefault="00381CAD" w:rsidP="00381CAD">
      <w:pPr>
        <w:spacing w:after="0"/>
        <w:contextualSpacing/>
        <w:rPr>
          <w:rFonts w:cs="Arial"/>
          <w:b/>
        </w:rPr>
      </w:pPr>
    </w:p>
    <w:p w14:paraId="1F1DB347" w14:textId="517364B6" w:rsidR="00381CAD" w:rsidRDefault="00381CAD" w:rsidP="00381CAD">
      <w:pPr>
        <w:spacing w:after="0"/>
        <w:contextualSpacing/>
        <w:rPr>
          <w:rFonts w:cs="Arial"/>
          <w:b/>
        </w:rPr>
      </w:pPr>
    </w:p>
    <w:p w14:paraId="52EB839E" w14:textId="302514A6" w:rsidR="00381CAD" w:rsidRDefault="00381CAD" w:rsidP="00381CAD">
      <w:pPr>
        <w:spacing w:after="0"/>
        <w:contextualSpacing/>
        <w:rPr>
          <w:rFonts w:cs="Arial"/>
          <w:b/>
        </w:rPr>
      </w:pPr>
    </w:p>
    <w:p w14:paraId="1995EC63" w14:textId="279A61C4" w:rsidR="00381CAD" w:rsidRDefault="00381CAD" w:rsidP="00381CAD">
      <w:pPr>
        <w:spacing w:after="0"/>
        <w:contextualSpacing/>
        <w:rPr>
          <w:rFonts w:cs="Arial"/>
          <w:b/>
        </w:rPr>
      </w:pPr>
    </w:p>
    <w:p w14:paraId="68A560D6" w14:textId="2B80DA45" w:rsidR="00381CAD" w:rsidRDefault="00381CAD" w:rsidP="00381CAD">
      <w:pPr>
        <w:spacing w:after="0"/>
        <w:contextualSpacing/>
        <w:rPr>
          <w:rFonts w:cs="Arial"/>
          <w:b/>
        </w:rPr>
      </w:pPr>
    </w:p>
    <w:p w14:paraId="09424B75" w14:textId="7FF0F017" w:rsidR="00381CAD" w:rsidRDefault="00381CAD" w:rsidP="00381CAD">
      <w:pPr>
        <w:spacing w:after="0"/>
        <w:contextualSpacing/>
        <w:rPr>
          <w:rFonts w:cs="Arial"/>
          <w:b/>
        </w:rPr>
      </w:pPr>
    </w:p>
    <w:p w14:paraId="5937A867" w14:textId="77777777" w:rsidR="00821D17" w:rsidRDefault="00821D17" w:rsidP="00381CAD">
      <w:pPr>
        <w:spacing w:after="0"/>
        <w:contextualSpacing/>
        <w:rPr>
          <w:rFonts w:cs="Arial"/>
          <w:b/>
        </w:rPr>
      </w:pPr>
    </w:p>
    <w:p w14:paraId="7797650B" w14:textId="77777777" w:rsidR="00381CAD" w:rsidRDefault="00381CAD" w:rsidP="00381CAD">
      <w:pPr>
        <w:spacing w:after="0"/>
        <w:contextualSpacing/>
        <w:rPr>
          <w:rFonts w:cs="Arial"/>
          <w:b/>
        </w:rPr>
      </w:pPr>
      <w:r>
        <w:rPr>
          <w:rFonts w:cs="Arial"/>
          <w:b/>
        </w:rPr>
        <w:lastRenderedPageBreak/>
        <w:t xml:space="preserve">An analysis of the changes to planned delivery are shown below </w:t>
      </w:r>
    </w:p>
    <w:p w14:paraId="060C557B" w14:textId="77777777" w:rsidR="00381CAD" w:rsidRDefault="00381CAD" w:rsidP="00381CAD">
      <w:pPr>
        <w:spacing w:after="0"/>
        <w:contextualSpacing/>
        <w:rPr>
          <w:rFonts w:cs="Arial"/>
          <w:b/>
        </w:rPr>
      </w:pPr>
    </w:p>
    <w:tbl>
      <w:tblPr>
        <w:tblW w:w="9629" w:type="dxa"/>
        <w:tblCellMar>
          <w:top w:w="15" w:type="dxa"/>
          <w:bottom w:w="15" w:type="dxa"/>
        </w:tblCellMar>
        <w:tblLook w:val="04A0" w:firstRow="1" w:lastRow="0" w:firstColumn="1" w:lastColumn="0" w:noHBand="0" w:noVBand="1"/>
      </w:tblPr>
      <w:tblGrid>
        <w:gridCol w:w="2856"/>
        <w:gridCol w:w="1061"/>
        <w:gridCol w:w="1195"/>
        <w:gridCol w:w="1061"/>
        <w:gridCol w:w="917"/>
        <w:gridCol w:w="1080"/>
        <w:gridCol w:w="1459"/>
      </w:tblGrid>
      <w:tr w:rsidR="00381CAD" w:rsidRPr="009D544B" w14:paraId="72C2FE25" w14:textId="77777777" w:rsidTr="00CB0FFD">
        <w:trPr>
          <w:trHeight w:val="1305"/>
        </w:trPr>
        <w:tc>
          <w:tcPr>
            <w:tcW w:w="2856" w:type="dxa"/>
            <w:vMerge w:val="restart"/>
            <w:tcBorders>
              <w:top w:val="single" w:sz="8" w:space="0" w:color="auto"/>
              <w:left w:val="single" w:sz="8" w:space="0" w:color="auto"/>
              <w:bottom w:val="nil"/>
              <w:right w:val="single" w:sz="8" w:space="0" w:color="auto"/>
            </w:tcBorders>
            <w:shd w:val="clear" w:color="000000" w:fill="D0CECE"/>
            <w:vAlign w:val="center"/>
            <w:hideMark/>
          </w:tcPr>
          <w:p w14:paraId="2237F42D"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Service Area</w:t>
            </w:r>
          </w:p>
        </w:tc>
        <w:tc>
          <w:tcPr>
            <w:tcW w:w="1061" w:type="dxa"/>
            <w:tcBorders>
              <w:top w:val="single" w:sz="8" w:space="0" w:color="auto"/>
              <w:left w:val="nil"/>
              <w:bottom w:val="single" w:sz="8" w:space="0" w:color="auto"/>
              <w:right w:val="single" w:sz="8" w:space="0" w:color="auto"/>
            </w:tcBorders>
            <w:shd w:val="clear" w:color="000000" w:fill="D0CECE"/>
            <w:vAlign w:val="center"/>
            <w:hideMark/>
          </w:tcPr>
          <w:p w14:paraId="579F276E"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Changes to planned delivery</w:t>
            </w:r>
          </w:p>
        </w:tc>
        <w:tc>
          <w:tcPr>
            <w:tcW w:w="1195" w:type="dxa"/>
            <w:tcBorders>
              <w:top w:val="single" w:sz="8" w:space="0" w:color="auto"/>
              <w:left w:val="nil"/>
              <w:bottom w:val="single" w:sz="8" w:space="0" w:color="auto"/>
              <w:right w:val="single" w:sz="8" w:space="0" w:color="auto"/>
            </w:tcBorders>
            <w:shd w:val="clear" w:color="000000" w:fill="D0CECE"/>
            <w:vAlign w:val="center"/>
            <w:hideMark/>
          </w:tcPr>
          <w:p w14:paraId="0FB892F0"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Additional Approvals</w:t>
            </w:r>
          </w:p>
        </w:tc>
        <w:tc>
          <w:tcPr>
            <w:tcW w:w="1061" w:type="dxa"/>
            <w:tcBorders>
              <w:top w:val="single" w:sz="8" w:space="0" w:color="auto"/>
              <w:left w:val="nil"/>
              <w:bottom w:val="single" w:sz="8" w:space="0" w:color="auto"/>
              <w:right w:val="single" w:sz="8" w:space="0" w:color="auto"/>
            </w:tcBorders>
            <w:shd w:val="clear" w:color="000000" w:fill="D0CECE"/>
            <w:vAlign w:val="center"/>
            <w:hideMark/>
          </w:tcPr>
          <w:p w14:paraId="36E9AAD9"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Changes to 21/22 Slippage figure</w:t>
            </w:r>
          </w:p>
        </w:tc>
        <w:tc>
          <w:tcPr>
            <w:tcW w:w="917" w:type="dxa"/>
            <w:tcBorders>
              <w:top w:val="single" w:sz="8" w:space="0" w:color="auto"/>
              <w:left w:val="nil"/>
              <w:bottom w:val="single" w:sz="8" w:space="0" w:color="auto"/>
              <w:right w:val="single" w:sz="8" w:space="0" w:color="auto"/>
            </w:tcBorders>
            <w:shd w:val="clear" w:color="000000" w:fill="D0CECE"/>
            <w:vAlign w:val="center"/>
            <w:hideMark/>
          </w:tcPr>
          <w:p w14:paraId="3D4C205F"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F</w:t>
            </w:r>
            <w:r>
              <w:rPr>
                <w:rFonts w:eastAsia="Times New Roman" w:cs="Arial"/>
                <w:b/>
                <w:bCs/>
                <w:sz w:val="20"/>
                <w:szCs w:val="20"/>
                <w:lang w:eastAsia="en-GB"/>
              </w:rPr>
              <w:t>eb</w:t>
            </w:r>
            <w:r w:rsidRPr="009D544B">
              <w:rPr>
                <w:rFonts w:eastAsia="Times New Roman" w:cs="Arial"/>
                <w:b/>
                <w:bCs/>
                <w:sz w:val="20"/>
                <w:szCs w:val="20"/>
                <w:lang w:eastAsia="en-GB"/>
              </w:rPr>
              <w:t>22 figures now slipped into 23/24</w:t>
            </w:r>
          </w:p>
        </w:tc>
        <w:tc>
          <w:tcPr>
            <w:tcW w:w="1080" w:type="dxa"/>
            <w:tcBorders>
              <w:top w:val="single" w:sz="8" w:space="0" w:color="auto"/>
              <w:left w:val="nil"/>
              <w:bottom w:val="single" w:sz="8" w:space="0" w:color="auto"/>
              <w:right w:val="single" w:sz="8" w:space="0" w:color="auto"/>
            </w:tcBorders>
            <w:shd w:val="clear" w:color="000000" w:fill="D0CECE"/>
            <w:vAlign w:val="center"/>
            <w:hideMark/>
          </w:tcPr>
          <w:p w14:paraId="2C82B8AD"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23/24+ figures brought back to JUN22 delivery plan</w:t>
            </w:r>
          </w:p>
        </w:tc>
        <w:tc>
          <w:tcPr>
            <w:tcW w:w="1459" w:type="dxa"/>
            <w:tcBorders>
              <w:top w:val="single" w:sz="8" w:space="0" w:color="auto"/>
              <w:left w:val="nil"/>
              <w:bottom w:val="single" w:sz="8" w:space="0" w:color="auto"/>
              <w:right w:val="single" w:sz="8" w:space="0" w:color="auto"/>
            </w:tcBorders>
            <w:shd w:val="clear" w:color="000000" w:fill="D0CECE"/>
            <w:vAlign w:val="center"/>
            <w:hideMark/>
          </w:tcPr>
          <w:p w14:paraId="2DF3885C"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22/23 Prior year additional delivery</w:t>
            </w:r>
          </w:p>
        </w:tc>
      </w:tr>
      <w:tr w:rsidR="00381CAD" w:rsidRPr="009D544B" w14:paraId="0A862776" w14:textId="77777777" w:rsidTr="00CB0FFD">
        <w:trPr>
          <w:trHeight w:val="450"/>
        </w:trPr>
        <w:tc>
          <w:tcPr>
            <w:tcW w:w="2856" w:type="dxa"/>
            <w:vMerge/>
            <w:tcBorders>
              <w:top w:val="single" w:sz="8" w:space="0" w:color="auto"/>
              <w:left w:val="single" w:sz="8" w:space="0" w:color="auto"/>
              <w:bottom w:val="nil"/>
              <w:right w:val="single" w:sz="8" w:space="0" w:color="auto"/>
            </w:tcBorders>
            <w:vAlign w:val="center"/>
            <w:hideMark/>
          </w:tcPr>
          <w:p w14:paraId="3D9CD1A5" w14:textId="77777777" w:rsidR="00381CAD" w:rsidRPr="009D544B" w:rsidRDefault="00381CAD" w:rsidP="00CB0FFD">
            <w:pPr>
              <w:autoSpaceDE/>
              <w:autoSpaceDN/>
              <w:adjustRightInd/>
              <w:spacing w:after="0"/>
              <w:jc w:val="left"/>
              <w:rPr>
                <w:rFonts w:eastAsia="Times New Roman" w:cs="Arial"/>
                <w:b/>
                <w:bCs/>
                <w:sz w:val="20"/>
                <w:szCs w:val="20"/>
                <w:lang w:eastAsia="en-GB"/>
              </w:rPr>
            </w:pPr>
          </w:p>
        </w:tc>
        <w:tc>
          <w:tcPr>
            <w:tcW w:w="1061" w:type="dxa"/>
            <w:tcBorders>
              <w:top w:val="nil"/>
              <w:left w:val="nil"/>
              <w:bottom w:val="single" w:sz="8" w:space="0" w:color="auto"/>
              <w:right w:val="single" w:sz="8" w:space="0" w:color="auto"/>
            </w:tcBorders>
            <w:shd w:val="clear" w:color="000000" w:fill="D0CECE"/>
            <w:vAlign w:val="center"/>
            <w:hideMark/>
          </w:tcPr>
          <w:p w14:paraId="442378B0"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c>
          <w:tcPr>
            <w:tcW w:w="1195" w:type="dxa"/>
            <w:tcBorders>
              <w:top w:val="nil"/>
              <w:left w:val="nil"/>
              <w:bottom w:val="single" w:sz="8" w:space="0" w:color="auto"/>
              <w:right w:val="single" w:sz="8" w:space="0" w:color="auto"/>
            </w:tcBorders>
            <w:shd w:val="clear" w:color="000000" w:fill="D0CECE"/>
            <w:vAlign w:val="center"/>
            <w:hideMark/>
          </w:tcPr>
          <w:p w14:paraId="1FD9D84C"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c>
          <w:tcPr>
            <w:tcW w:w="1061" w:type="dxa"/>
            <w:tcBorders>
              <w:top w:val="nil"/>
              <w:left w:val="nil"/>
              <w:bottom w:val="single" w:sz="8" w:space="0" w:color="auto"/>
              <w:right w:val="single" w:sz="8" w:space="0" w:color="auto"/>
            </w:tcBorders>
            <w:shd w:val="clear" w:color="000000" w:fill="D0CECE"/>
            <w:vAlign w:val="center"/>
            <w:hideMark/>
          </w:tcPr>
          <w:p w14:paraId="034BA5B8"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c>
          <w:tcPr>
            <w:tcW w:w="917" w:type="dxa"/>
            <w:tcBorders>
              <w:top w:val="nil"/>
              <w:left w:val="nil"/>
              <w:bottom w:val="single" w:sz="8" w:space="0" w:color="auto"/>
              <w:right w:val="single" w:sz="8" w:space="0" w:color="auto"/>
            </w:tcBorders>
            <w:shd w:val="clear" w:color="000000" w:fill="D0CECE"/>
            <w:vAlign w:val="center"/>
            <w:hideMark/>
          </w:tcPr>
          <w:p w14:paraId="0821299D"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c>
          <w:tcPr>
            <w:tcW w:w="1080" w:type="dxa"/>
            <w:tcBorders>
              <w:top w:val="nil"/>
              <w:left w:val="nil"/>
              <w:bottom w:val="single" w:sz="8" w:space="0" w:color="auto"/>
              <w:right w:val="single" w:sz="8" w:space="0" w:color="auto"/>
            </w:tcBorders>
            <w:shd w:val="clear" w:color="000000" w:fill="D0CECE"/>
            <w:vAlign w:val="center"/>
            <w:hideMark/>
          </w:tcPr>
          <w:p w14:paraId="7B460E20"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c>
          <w:tcPr>
            <w:tcW w:w="1459" w:type="dxa"/>
            <w:tcBorders>
              <w:top w:val="nil"/>
              <w:left w:val="nil"/>
              <w:bottom w:val="single" w:sz="8" w:space="0" w:color="auto"/>
              <w:right w:val="single" w:sz="8" w:space="0" w:color="auto"/>
            </w:tcBorders>
            <w:shd w:val="clear" w:color="000000" w:fill="D0CECE"/>
            <w:vAlign w:val="center"/>
            <w:hideMark/>
          </w:tcPr>
          <w:p w14:paraId="4998EB42" w14:textId="77777777" w:rsidR="00381CAD" w:rsidRPr="009D544B" w:rsidRDefault="00381CAD" w:rsidP="00CB0FFD">
            <w:pPr>
              <w:autoSpaceDE/>
              <w:autoSpaceDN/>
              <w:adjustRightInd/>
              <w:spacing w:after="0"/>
              <w:jc w:val="center"/>
              <w:rPr>
                <w:rFonts w:eastAsia="Times New Roman" w:cs="Arial"/>
                <w:b/>
                <w:bCs/>
                <w:sz w:val="20"/>
                <w:szCs w:val="20"/>
                <w:lang w:eastAsia="en-GB"/>
              </w:rPr>
            </w:pPr>
            <w:r w:rsidRPr="009D544B">
              <w:rPr>
                <w:rFonts w:eastAsia="Times New Roman" w:cs="Arial"/>
                <w:b/>
                <w:bCs/>
                <w:sz w:val="20"/>
                <w:szCs w:val="20"/>
                <w:lang w:eastAsia="en-GB"/>
              </w:rPr>
              <w:t>£m</w:t>
            </w:r>
          </w:p>
        </w:tc>
      </w:tr>
      <w:tr w:rsidR="00381CAD" w:rsidRPr="009D544B" w14:paraId="0BE3B350"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57A47D3B"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Schools (including DFC)</w:t>
            </w:r>
          </w:p>
        </w:tc>
        <w:tc>
          <w:tcPr>
            <w:tcW w:w="1061" w:type="dxa"/>
            <w:tcBorders>
              <w:top w:val="nil"/>
              <w:left w:val="nil"/>
              <w:bottom w:val="single" w:sz="8" w:space="0" w:color="auto"/>
              <w:right w:val="single" w:sz="8" w:space="0" w:color="auto"/>
            </w:tcBorders>
            <w:vAlign w:val="center"/>
            <w:hideMark/>
          </w:tcPr>
          <w:p w14:paraId="5C653672"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1.372</w:t>
            </w:r>
          </w:p>
        </w:tc>
        <w:tc>
          <w:tcPr>
            <w:tcW w:w="1195" w:type="dxa"/>
            <w:tcBorders>
              <w:top w:val="nil"/>
              <w:left w:val="nil"/>
              <w:bottom w:val="single" w:sz="8" w:space="0" w:color="auto"/>
              <w:right w:val="single" w:sz="8" w:space="0" w:color="auto"/>
            </w:tcBorders>
            <w:vAlign w:val="center"/>
            <w:hideMark/>
          </w:tcPr>
          <w:p w14:paraId="31E6907A"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4.494</w:t>
            </w:r>
          </w:p>
        </w:tc>
        <w:tc>
          <w:tcPr>
            <w:tcW w:w="1061" w:type="dxa"/>
            <w:tcBorders>
              <w:top w:val="nil"/>
              <w:left w:val="nil"/>
              <w:bottom w:val="single" w:sz="8" w:space="0" w:color="auto"/>
              <w:right w:val="single" w:sz="8" w:space="0" w:color="auto"/>
            </w:tcBorders>
            <w:vAlign w:val="center"/>
            <w:hideMark/>
          </w:tcPr>
          <w:p w14:paraId="754162B9"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0.884</w:t>
            </w:r>
          </w:p>
        </w:tc>
        <w:tc>
          <w:tcPr>
            <w:tcW w:w="917" w:type="dxa"/>
            <w:tcBorders>
              <w:top w:val="nil"/>
              <w:left w:val="nil"/>
              <w:bottom w:val="single" w:sz="8" w:space="0" w:color="auto"/>
              <w:right w:val="single" w:sz="8" w:space="0" w:color="auto"/>
            </w:tcBorders>
            <w:vAlign w:val="center"/>
            <w:hideMark/>
          </w:tcPr>
          <w:p w14:paraId="68753B35"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-2.967</w:t>
            </w:r>
          </w:p>
        </w:tc>
        <w:tc>
          <w:tcPr>
            <w:tcW w:w="1080" w:type="dxa"/>
            <w:tcBorders>
              <w:top w:val="nil"/>
              <w:left w:val="nil"/>
              <w:bottom w:val="single" w:sz="8" w:space="0" w:color="auto"/>
              <w:right w:val="single" w:sz="8" w:space="0" w:color="auto"/>
            </w:tcBorders>
            <w:vAlign w:val="center"/>
            <w:hideMark/>
          </w:tcPr>
          <w:p w14:paraId="746D3E96"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0.523</w:t>
            </w:r>
          </w:p>
        </w:tc>
        <w:tc>
          <w:tcPr>
            <w:tcW w:w="1459" w:type="dxa"/>
            <w:tcBorders>
              <w:top w:val="nil"/>
              <w:left w:val="nil"/>
              <w:bottom w:val="single" w:sz="8" w:space="0" w:color="auto"/>
              <w:right w:val="single" w:sz="8" w:space="0" w:color="auto"/>
            </w:tcBorders>
            <w:vAlign w:val="center"/>
            <w:hideMark/>
          </w:tcPr>
          <w:p w14:paraId="1E06F4A2"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-1.562</w:t>
            </w:r>
          </w:p>
        </w:tc>
      </w:tr>
      <w:tr w:rsidR="00381CAD" w:rsidRPr="009D544B" w14:paraId="442A48BD"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3962A9FA"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Highways</w:t>
            </w:r>
          </w:p>
        </w:tc>
        <w:tc>
          <w:tcPr>
            <w:tcW w:w="1061" w:type="dxa"/>
            <w:tcBorders>
              <w:top w:val="nil"/>
              <w:left w:val="nil"/>
              <w:bottom w:val="single" w:sz="8" w:space="0" w:color="auto"/>
              <w:right w:val="single" w:sz="8" w:space="0" w:color="auto"/>
            </w:tcBorders>
            <w:vAlign w:val="center"/>
            <w:hideMark/>
          </w:tcPr>
          <w:p w14:paraId="191FB23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-0.296</w:t>
            </w:r>
          </w:p>
        </w:tc>
        <w:tc>
          <w:tcPr>
            <w:tcW w:w="1195" w:type="dxa"/>
            <w:tcBorders>
              <w:top w:val="nil"/>
              <w:left w:val="nil"/>
              <w:bottom w:val="single" w:sz="8" w:space="0" w:color="auto"/>
              <w:right w:val="single" w:sz="8" w:space="0" w:color="auto"/>
            </w:tcBorders>
            <w:vAlign w:val="center"/>
            <w:hideMark/>
          </w:tcPr>
          <w:p w14:paraId="7004AC03"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vAlign w:val="center"/>
            <w:hideMark/>
          </w:tcPr>
          <w:p w14:paraId="7E47EC9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-0.296</w:t>
            </w:r>
          </w:p>
        </w:tc>
        <w:tc>
          <w:tcPr>
            <w:tcW w:w="917" w:type="dxa"/>
            <w:tcBorders>
              <w:top w:val="nil"/>
              <w:left w:val="nil"/>
              <w:bottom w:val="single" w:sz="8" w:space="0" w:color="auto"/>
              <w:right w:val="single" w:sz="8" w:space="0" w:color="auto"/>
            </w:tcBorders>
            <w:vAlign w:val="center"/>
            <w:hideMark/>
          </w:tcPr>
          <w:p w14:paraId="284C66A6"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160AC9A5"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36E68287"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7C057522"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25355061"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Transport</w:t>
            </w:r>
          </w:p>
        </w:tc>
        <w:tc>
          <w:tcPr>
            <w:tcW w:w="1061" w:type="dxa"/>
            <w:tcBorders>
              <w:top w:val="nil"/>
              <w:left w:val="nil"/>
              <w:bottom w:val="single" w:sz="8" w:space="0" w:color="auto"/>
              <w:right w:val="single" w:sz="8" w:space="0" w:color="auto"/>
            </w:tcBorders>
            <w:vAlign w:val="center"/>
            <w:hideMark/>
          </w:tcPr>
          <w:p w14:paraId="09596B4A"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0.003</w:t>
            </w:r>
          </w:p>
        </w:tc>
        <w:tc>
          <w:tcPr>
            <w:tcW w:w="1195" w:type="dxa"/>
            <w:tcBorders>
              <w:top w:val="nil"/>
              <w:left w:val="nil"/>
              <w:bottom w:val="single" w:sz="8" w:space="0" w:color="auto"/>
              <w:right w:val="single" w:sz="8" w:space="0" w:color="auto"/>
            </w:tcBorders>
            <w:vAlign w:val="center"/>
            <w:hideMark/>
          </w:tcPr>
          <w:p w14:paraId="4675A563"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vAlign w:val="center"/>
            <w:hideMark/>
          </w:tcPr>
          <w:p w14:paraId="2A56A6F3"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0.003</w:t>
            </w:r>
          </w:p>
        </w:tc>
        <w:tc>
          <w:tcPr>
            <w:tcW w:w="917" w:type="dxa"/>
            <w:tcBorders>
              <w:top w:val="nil"/>
              <w:left w:val="nil"/>
              <w:bottom w:val="single" w:sz="8" w:space="0" w:color="auto"/>
              <w:right w:val="single" w:sz="8" w:space="0" w:color="auto"/>
            </w:tcBorders>
            <w:vAlign w:val="center"/>
            <w:hideMark/>
          </w:tcPr>
          <w:p w14:paraId="594F85E7"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5AD0CFA6"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17BB0041"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1178A849"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786B8A0A"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Externally Funded Schemes</w:t>
            </w:r>
          </w:p>
        </w:tc>
        <w:tc>
          <w:tcPr>
            <w:tcW w:w="1061" w:type="dxa"/>
            <w:tcBorders>
              <w:top w:val="nil"/>
              <w:left w:val="nil"/>
              <w:bottom w:val="single" w:sz="8" w:space="0" w:color="auto"/>
              <w:right w:val="single" w:sz="8" w:space="0" w:color="auto"/>
            </w:tcBorders>
            <w:vAlign w:val="center"/>
            <w:hideMark/>
          </w:tcPr>
          <w:p w14:paraId="509BA90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0.213</w:t>
            </w:r>
          </w:p>
        </w:tc>
        <w:tc>
          <w:tcPr>
            <w:tcW w:w="1195" w:type="dxa"/>
            <w:tcBorders>
              <w:top w:val="nil"/>
              <w:left w:val="nil"/>
              <w:bottom w:val="single" w:sz="8" w:space="0" w:color="auto"/>
              <w:right w:val="single" w:sz="8" w:space="0" w:color="auto"/>
            </w:tcBorders>
            <w:vAlign w:val="center"/>
            <w:hideMark/>
          </w:tcPr>
          <w:p w14:paraId="7EB05412"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0.415</w:t>
            </w:r>
          </w:p>
        </w:tc>
        <w:tc>
          <w:tcPr>
            <w:tcW w:w="1061" w:type="dxa"/>
            <w:tcBorders>
              <w:top w:val="nil"/>
              <w:left w:val="nil"/>
              <w:bottom w:val="single" w:sz="8" w:space="0" w:color="auto"/>
              <w:right w:val="single" w:sz="8" w:space="0" w:color="auto"/>
            </w:tcBorders>
            <w:vAlign w:val="center"/>
            <w:hideMark/>
          </w:tcPr>
          <w:p w14:paraId="4D963145"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-0.159</w:t>
            </w:r>
          </w:p>
        </w:tc>
        <w:tc>
          <w:tcPr>
            <w:tcW w:w="917" w:type="dxa"/>
            <w:tcBorders>
              <w:top w:val="nil"/>
              <w:left w:val="nil"/>
              <w:bottom w:val="single" w:sz="8" w:space="0" w:color="auto"/>
              <w:right w:val="single" w:sz="8" w:space="0" w:color="auto"/>
            </w:tcBorders>
            <w:vAlign w:val="center"/>
            <w:hideMark/>
          </w:tcPr>
          <w:p w14:paraId="15ED124A"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42E35BC7"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2744B24B"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-0.043</w:t>
            </w:r>
          </w:p>
        </w:tc>
      </w:tr>
      <w:tr w:rsidR="00381CAD" w:rsidRPr="009D544B" w14:paraId="187563EC" w14:textId="77777777" w:rsidTr="00381CAD">
        <w:trPr>
          <w:trHeight w:val="450"/>
        </w:trPr>
        <w:tc>
          <w:tcPr>
            <w:tcW w:w="2856" w:type="dxa"/>
            <w:tcBorders>
              <w:top w:val="nil"/>
              <w:left w:val="single" w:sz="8" w:space="0" w:color="auto"/>
              <w:bottom w:val="single" w:sz="8" w:space="0" w:color="auto"/>
              <w:right w:val="single" w:sz="8" w:space="0" w:color="auto"/>
            </w:tcBorders>
            <w:vAlign w:val="center"/>
            <w:hideMark/>
          </w:tcPr>
          <w:p w14:paraId="5CDCC578"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Central Systems &amp; ICT</w:t>
            </w:r>
          </w:p>
        </w:tc>
        <w:tc>
          <w:tcPr>
            <w:tcW w:w="1061" w:type="dxa"/>
            <w:tcBorders>
              <w:top w:val="nil"/>
              <w:left w:val="nil"/>
              <w:bottom w:val="single" w:sz="8" w:space="0" w:color="auto"/>
              <w:right w:val="single" w:sz="8" w:space="0" w:color="auto"/>
            </w:tcBorders>
            <w:vAlign w:val="center"/>
            <w:hideMark/>
          </w:tcPr>
          <w:p w14:paraId="1C907B5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8.802</w:t>
            </w:r>
          </w:p>
        </w:tc>
        <w:tc>
          <w:tcPr>
            <w:tcW w:w="1195" w:type="dxa"/>
            <w:tcBorders>
              <w:top w:val="nil"/>
              <w:left w:val="nil"/>
              <w:bottom w:val="single" w:sz="8" w:space="0" w:color="auto"/>
              <w:right w:val="single" w:sz="8" w:space="0" w:color="auto"/>
            </w:tcBorders>
            <w:shd w:val="clear" w:color="auto" w:fill="FFFFFF"/>
            <w:vAlign w:val="center"/>
            <w:hideMark/>
          </w:tcPr>
          <w:p w14:paraId="6DD87DE9"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5.800</w:t>
            </w:r>
          </w:p>
        </w:tc>
        <w:tc>
          <w:tcPr>
            <w:tcW w:w="1061" w:type="dxa"/>
            <w:tcBorders>
              <w:top w:val="nil"/>
              <w:left w:val="nil"/>
              <w:bottom w:val="single" w:sz="8" w:space="0" w:color="auto"/>
              <w:right w:val="single" w:sz="8" w:space="0" w:color="auto"/>
            </w:tcBorders>
            <w:shd w:val="clear" w:color="auto" w:fill="FFFFFF"/>
            <w:vAlign w:val="center"/>
            <w:hideMark/>
          </w:tcPr>
          <w:p w14:paraId="25635486"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3.056</w:t>
            </w:r>
          </w:p>
        </w:tc>
        <w:tc>
          <w:tcPr>
            <w:tcW w:w="917" w:type="dxa"/>
            <w:tcBorders>
              <w:top w:val="nil"/>
              <w:left w:val="nil"/>
              <w:bottom w:val="single" w:sz="8" w:space="0" w:color="auto"/>
              <w:right w:val="single" w:sz="8" w:space="0" w:color="auto"/>
            </w:tcBorders>
            <w:shd w:val="clear" w:color="auto" w:fill="FFFFFF"/>
            <w:vAlign w:val="center"/>
            <w:hideMark/>
          </w:tcPr>
          <w:p w14:paraId="6EAE5C56"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-0.054</w:t>
            </w:r>
          </w:p>
        </w:tc>
        <w:tc>
          <w:tcPr>
            <w:tcW w:w="1080" w:type="dxa"/>
            <w:tcBorders>
              <w:top w:val="nil"/>
              <w:left w:val="nil"/>
              <w:bottom w:val="single" w:sz="8" w:space="0" w:color="auto"/>
              <w:right w:val="single" w:sz="8" w:space="0" w:color="auto"/>
            </w:tcBorders>
            <w:vAlign w:val="center"/>
            <w:hideMark/>
          </w:tcPr>
          <w:p w14:paraId="32195045"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459" w:type="dxa"/>
            <w:tcBorders>
              <w:top w:val="nil"/>
              <w:left w:val="nil"/>
              <w:bottom w:val="single" w:sz="8" w:space="0" w:color="auto"/>
              <w:right w:val="single" w:sz="8" w:space="0" w:color="auto"/>
            </w:tcBorders>
            <w:vAlign w:val="center"/>
            <w:hideMark/>
          </w:tcPr>
          <w:p w14:paraId="102938D1"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16A8E2C3" w14:textId="77777777" w:rsidTr="00381CAD">
        <w:trPr>
          <w:trHeight w:val="450"/>
        </w:trPr>
        <w:tc>
          <w:tcPr>
            <w:tcW w:w="2856" w:type="dxa"/>
            <w:tcBorders>
              <w:top w:val="nil"/>
              <w:left w:val="single" w:sz="8" w:space="0" w:color="auto"/>
              <w:bottom w:val="single" w:sz="8" w:space="0" w:color="auto"/>
              <w:right w:val="single" w:sz="8" w:space="0" w:color="auto"/>
            </w:tcBorders>
            <w:vAlign w:val="center"/>
            <w:hideMark/>
          </w:tcPr>
          <w:p w14:paraId="6A871ED6"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Adult Social Care</w:t>
            </w:r>
          </w:p>
        </w:tc>
        <w:tc>
          <w:tcPr>
            <w:tcW w:w="1061" w:type="dxa"/>
            <w:tcBorders>
              <w:top w:val="nil"/>
              <w:left w:val="nil"/>
              <w:bottom w:val="single" w:sz="8" w:space="0" w:color="auto"/>
              <w:right w:val="single" w:sz="8" w:space="0" w:color="auto"/>
            </w:tcBorders>
            <w:vAlign w:val="center"/>
            <w:hideMark/>
          </w:tcPr>
          <w:p w14:paraId="5CB6EA3B"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1.255</w:t>
            </w:r>
          </w:p>
        </w:tc>
        <w:tc>
          <w:tcPr>
            <w:tcW w:w="1195" w:type="dxa"/>
            <w:tcBorders>
              <w:top w:val="nil"/>
              <w:left w:val="nil"/>
              <w:bottom w:val="single" w:sz="8" w:space="0" w:color="auto"/>
              <w:right w:val="single" w:sz="8" w:space="0" w:color="auto"/>
            </w:tcBorders>
            <w:shd w:val="clear" w:color="auto" w:fill="FFFFFF"/>
            <w:vAlign w:val="center"/>
            <w:hideMark/>
          </w:tcPr>
          <w:p w14:paraId="7044C840"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0.715</w:t>
            </w:r>
          </w:p>
        </w:tc>
        <w:tc>
          <w:tcPr>
            <w:tcW w:w="1061" w:type="dxa"/>
            <w:tcBorders>
              <w:top w:val="nil"/>
              <w:left w:val="nil"/>
              <w:bottom w:val="single" w:sz="8" w:space="0" w:color="auto"/>
              <w:right w:val="single" w:sz="8" w:space="0" w:color="auto"/>
            </w:tcBorders>
            <w:shd w:val="clear" w:color="auto" w:fill="FFFFFF"/>
            <w:vAlign w:val="center"/>
            <w:hideMark/>
          </w:tcPr>
          <w:p w14:paraId="19C331E5"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0.540</w:t>
            </w:r>
          </w:p>
        </w:tc>
        <w:tc>
          <w:tcPr>
            <w:tcW w:w="917" w:type="dxa"/>
            <w:tcBorders>
              <w:top w:val="nil"/>
              <w:left w:val="nil"/>
              <w:bottom w:val="single" w:sz="8" w:space="0" w:color="auto"/>
              <w:right w:val="single" w:sz="8" w:space="0" w:color="auto"/>
            </w:tcBorders>
            <w:shd w:val="clear" w:color="auto" w:fill="FFFFFF"/>
            <w:vAlign w:val="center"/>
            <w:hideMark/>
          </w:tcPr>
          <w:p w14:paraId="705DCE5E"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59C2E47B"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24C43819"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19A06178" w14:textId="77777777" w:rsidTr="00381CAD">
        <w:trPr>
          <w:trHeight w:val="450"/>
        </w:trPr>
        <w:tc>
          <w:tcPr>
            <w:tcW w:w="2856" w:type="dxa"/>
            <w:tcBorders>
              <w:top w:val="nil"/>
              <w:left w:val="single" w:sz="8" w:space="0" w:color="auto"/>
              <w:bottom w:val="single" w:sz="8" w:space="0" w:color="auto"/>
              <w:right w:val="single" w:sz="8" w:space="0" w:color="auto"/>
            </w:tcBorders>
            <w:vAlign w:val="center"/>
            <w:hideMark/>
          </w:tcPr>
          <w:p w14:paraId="681017D9"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Corporate - Property</w:t>
            </w:r>
          </w:p>
        </w:tc>
        <w:tc>
          <w:tcPr>
            <w:tcW w:w="1061" w:type="dxa"/>
            <w:tcBorders>
              <w:top w:val="nil"/>
              <w:left w:val="nil"/>
              <w:bottom w:val="single" w:sz="8" w:space="0" w:color="auto"/>
              <w:right w:val="single" w:sz="8" w:space="0" w:color="auto"/>
            </w:tcBorders>
            <w:vAlign w:val="center"/>
            <w:hideMark/>
          </w:tcPr>
          <w:p w14:paraId="4C6FC4D6"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2.074</w:t>
            </w:r>
          </w:p>
        </w:tc>
        <w:tc>
          <w:tcPr>
            <w:tcW w:w="1195" w:type="dxa"/>
            <w:tcBorders>
              <w:top w:val="nil"/>
              <w:left w:val="nil"/>
              <w:bottom w:val="single" w:sz="8" w:space="0" w:color="auto"/>
              <w:right w:val="single" w:sz="8" w:space="0" w:color="auto"/>
            </w:tcBorders>
            <w:shd w:val="clear" w:color="auto" w:fill="FFFFFF"/>
            <w:vAlign w:val="center"/>
            <w:hideMark/>
          </w:tcPr>
          <w:p w14:paraId="76DF19E2"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2.202</w:t>
            </w:r>
          </w:p>
        </w:tc>
        <w:tc>
          <w:tcPr>
            <w:tcW w:w="1061" w:type="dxa"/>
            <w:tcBorders>
              <w:top w:val="nil"/>
              <w:left w:val="nil"/>
              <w:bottom w:val="single" w:sz="8" w:space="0" w:color="auto"/>
              <w:right w:val="single" w:sz="8" w:space="0" w:color="auto"/>
            </w:tcBorders>
            <w:shd w:val="clear" w:color="auto" w:fill="FFFFFF"/>
            <w:vAlign w:val="center"/>
            <w:hideMark/>
          </w:tcPr>
          <w:p w14:paraId="67F0F2A1"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917" w:type="dxa"/>
            <w:tcBorders>
              <w:top w:val="nil"/>
              <w:left w:val="nil"/>
              <w:bottom w:val="single" w:sz="8" w:space="0" w:color="auto"/>
              <w:right w:val="single" w:sz="8" w:space="0" w:color="auto"/>
            </w:tcBorders>
            <w:shd w:val="clear" w:color="auto" w:fill="FFFFFF"/>
            <w:vAlign w:val="center"/>
            <w:hideMark/>
          </w:tcPr>
          <w:p w14:paraId="2198EA53"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-0.128</w:t>
            </w:r>
          </w:p>
        </w:tc>
        <w:tc>
          <w:tcPr>
            <w:tcW w:w="1080" w:type="dxa"/>
            <w:tcBorders>
              <w:top w:val="nil"/>
              <w:left w:val="nil"/>
              <w:bottom w:val="single" w:sz="8" w:space="0" w:color="auto"/>
              <w:right w:val="single" w:sz="8" w:space="0" w:color="auto"/>
            </w:tcBorders>
            <w:vAlign w:val="center"/>
            <w:hideMark/>
          </w:tcPr>
          <w:p w14:paraId="026231D8"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459" w:type="dxa"/>
            <w:tcBorders>
              <w:top w:val="nil"/>
              <w:left w:val="nil"/>
              <w:bottom w:val="single" w:sz="8" w:space="0" w:color="auto"/>
              <w:right w:val="single" w:sz="8" w:space="0" w:color="auto"/>
            </w:tcBorders>
            <w:vAlign w:val="center"/>
            <w:hideMark/>
          </w:tcPr>
          <w:p w14:paraId="0C1EEE15"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1A801938" w14:textId="77777777" w:rsidTr="00381CAD">
        <w:trPr>
          <w:trHeight w:val="450"/>
        </w:trPr>
        <w:tc>
          <w:tcPr>
            <w:tcW w:w="2856" w:type="dxa"/>
            <w:tcBorders>
              <w:top w:val="nil"/>
              <w:left w:val="single" w:sz="8" w:space="0" w:color="auto"/>
              <w:bottom w:val="single" w:sz="8" w:space="0" w:color="auto"/>
              <w:right w:val="single" w:sz="8" w:space="0" w:color="auto"/>
            </w:tcBorders>
            <w:vAlign w:val="center"/>
            <w:hideMark/>
          </w:tcPr>
          <w:p w14:paraId="38C7E7CA"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Economic Development</w:t>
            </w:r>
          </w:p>
        </w:tc>
        <w:tc>
          <w:tcPr>
            <w:tcW w:w="1061" w:type="dxa"/>
            <w:tcBorders>
              <w:top w:val="nil"/>
              <w:left w:val="nil"/>
              <w:bottom w:val="single" w:sz="8" w:space="0" w:color="auto"/>
              <w:right w:val="single" w:sz="8" w:space="0" w:color="auto"/>
            </w:tcBorders>
            <w:vAlign w:val="center"/>
            <w:hideMark/>
          </w:tcPr>
          <w:p w14:paraId="68140B9B"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-0.959</w:t>
            </w:r>
          </w:p>
        </w:tc>
        <w:tc>
          <w:tcPr>
            <w:tcW w:w="1195" w:type="dxa"/>
            <w:tcBorders>
              <w:top w:val="nil"/>
              <w:left w:val="nil"/>
              <w:bottom w:val="single" w:sz="8" w:space="0" w:color="auto"/>
              <w:right w:val="single" w:sz="8" w:space="0" w:color="auto"/>
            </w:tcBorders>
            <w:shd w:val="clear" w:color="auto" w:fill="FFFFFF"/>
            <w:vAlign w:val="center"/>
            <w:hideMark/>
          </w:tcPr>
          <w:p w14:paraId="640E2BF2"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shd w:val="clear" w:color="auto" w:fill="FFFFFF"/>
            <w:vAlign w:val="center"/>
            <w:hideMark/>
          </w:tcPr>
          <w:p w14:paraId="0EB8DFAC"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0.041</w:t>
            </w:r>
          </w:p>
        </w:tc>
        <w:tc>
          <w:tcPr>
            <w:tcW w:w="917" w:type="dxa"/>
            <w:tcBorders>
              <w:top w:val="nil"/>
              <w:left w:val="nil"/>
              <w:bottom w:val="single" w:sz="8" w:space="0" w:color="auto"/>
              <w:right w:val="single" w:sz="8" w:space="0" w:color="auto"/>
            </w:tcBorders>
            <w:shd w:val="clear" w:color="auto" w:fill="FFFFFF"/>
            <w:vAlign w:val="center"/>
            <w:hideMark/>
          </w:tcPr>
          <w:p w14:paraId="65698D84"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-1.000</w:t>
            </w:r>
          </w:p>
        </w:tc>
        <w:tc>
          <w:tcPr>
            <w:tcW w:w="1080" w:type="dxa"/>
            <w:tcBorders>
              <w:top w:val="nil"/>
              <w:left w:val="nil"/>
              <w:bottom w:val="single" w:sz="8" w:space="0" w:color="auto"/>
              <w:right w:val="single" w:sz="8" w:space="0" w:color="auto"/>
            </w:tcBorders>
            <w:vAlign w:val="center"/>
            <w:hideMark/>
          </w:tcPr>
          <w:p w14:paraId="1D66FE76"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459" w:type="dxa"/>
            <w:tcBorders>
              <w:top w:val="nil"/>
              <w:left w:val="nil"/>
              <w:bottom w:val="single" w:sz="8" w:space="0" w:color="auto"/>
              <w:right w:val="single" w:sz="8" w:space="0" w:color="auto"/>
            </w:tcBorders>
            <w:vAlign w:val="center"/>
            <w:hideMark/>
          </w:tcPr>
          <w:p w14:paraId="133CB1DD"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79CF8839" w14:textId="77777777" w:rsidTr="00381CAD">
        <w:trPr>
          <w:trHeight w:val="450"/>
        </w:trPr>
        <w:tc>
          <w:tcPr>
            <w:tcW w:w="2856" w:type="dxa"/>
            <w:tcBorders>
              <w:top w:val="nil"/>
              <w:left w:val="single" w:sz="8" w:space="0" w:color="auto"/>
              <w:bottom w:val="single" w:sz="8" w:space="0" w:color="auto"/>
              <w:right w:val="single" w:sz="8" w:space="0" w:color="auto"/>
            </w:tcBorders>
            <w:vAlign w:val="center"/>
            <w:hideMark/>
          </w:tcPr>
          <w:p w14:paraId="3F543A15"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South Lancaster Growth Catalyst</w:t>
            </w:r>
          </w:p>
        </w:tc>
        <w:tc>
          <w:tcPr>
            <w:tcW w:w="1061" w:type="dxa"/>
            <w:tcBorders>
              <w:top w:val="nil"/>
              <w:left w:val="nil"/>
              <w:bottom w:val="single" w:sz="8" w:space="0" w:color="auto"/>
              <w:right w:val="single" w:sz="8" w:space="0" w:color="auto"/>
            </w:tcBorders>
            <w:vAlign w:val="center"/>
            <w:hideMark/>
          </w:tcPr>
          <w:p w14:paraId="1D450F13"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1.570</w:t>
            </w:r>
          </w:p>
        </w:tc>
        <w:tc>
          <w:tcPr>
            <w:tcW w:w="1195" w:type="dxa"/>
            <w:tcBorders>
              <w:top w:val="nil"/>
              <w:left w:val="nil"/>
              <w:bottom w:val="single" w:sz="8" w:space="0" w:color="auto"/>
              <w:right w:val="single" w:sz="8" w:space="0" w:color="auto"/>
            </w:tcBorders>
            <w:shd w:val="clear" w:color="auto" w:fill="FFFFFF"/>
            <w:vAlign w:val="center"/>
            <w:hideMark/>
          </w:tcPr>
          <w:p w14:paraId="7D5FFE67"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shd w:val="clear" w:color="auto" w:fill="FFFFFF"/>
            <w:vAlign w:val="center"/>
            <w:hideMark/>
          </w:tcPr>
          <w:p w14:paraId="66AF9F9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1.570</w:t>
            </w:r>
          </w:p>
        </w:tc>
        <w:tc>
          <w:tcPr>
            <w:tcW w:w="917" w:type="dxa"/>
            <w:tcBorders>
              <w:top w:val="nil"/>
              <w:left w:val="nil"/>
              <w:bottom w:val="single" w:sz="8" w:space="0" w:color="auto"/>
              <w:right w:val="single" w:sz="8" w:space="0" w:color="auto"/>
            </w:tcBorders>
            <w:shd w:val="clear" w:color="auto" w:fill="FFFFFF"/>
            <w:vAlign w:val="center"/>
            <w:hideMark/>
          </w:tcPr>
          <w:p w14:paraId="7A8A4C87"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26A6CDBB"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682F4DFB"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7468D8EB"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29A9DE15"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Vehicles</w:t>
            </w:r>
          </w:p>
        </w:tc>
        <w:tc>
          <w:tcPr>
            <w:tcW w:w="1061" w:type="dxa"/>
            <w:tcBorders>
              <w:top w:val="nil"/>
              <w:left w:val="nil"/>
              <w:bottom w:val="single" w:sz="8" w:space="0" w:color="auto"/>
              <w:right w:val="single" w:sz="8" w:space="0" w:color="auto"/>
            </w:tcBorders>
            <w:shd w:val="clear" w:color="000000" w:fill="FFFFFF"/>
            <w:vAlign w:val="center"/>
            <w:hideMark/>
          </w:tcPr>
          <w:p w14:paraId="74B98A57"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-0.229</w:t>
            </w:r>
          </w:p>
        </w:tc>
        <w:tc>
          <w:tcPr>
            <w:tcW w:w="1195" w:type="dxa"/>
            <w:tcBorders>
              <w:top w:val="nil"/>
              <w:left w:val="nil"/>
              <w:bottom w:val="single" w:sz="8" w:space="0" w:color="auto"/>
              <w:right w:val="single" w:sz="8" w:space="0" w:color="auto"/>
            </w:tcBorders>
            <w:vAlign w:val="center"/>
            <w:hideMark/>
          </w:tcPr>
          <w:p w14:paraId="0CFD2D16"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vAlign w:val="center"/>
            <w:hideMark/>
          </w:tcPr>
          <w:p w14:paraId="67B753AC"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-0.229</w:t>
            </w:r>
          </w:p>
        </w:tc>
        <w:tc>
          <w:tcPr>
            <w:tcW w:w="917" w:type="dxa"/>
            <w:tcBorders>
              <w:top w:val="nil"/>
              <w:left w:val="nil"/>
              <w:bottom w:val="single" w:sz="8" w:space="0" w:color="auto"/>
              <w:right w:val="single" w:sz="8" w:space="0" w:color="auto"/>
            </w:tcBorders>
            <w:vAlign w:val="center"/>
            <w:hideMark/>
          </w:tcPr>
          <w:p w14:paraId="7F11CD8A"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80" w:type="dxa"/>
            <w:tcBorders>
              <w:top w:val="nil"/>
              <w:left w:val="nil"/>
              <w:bottom w:val="single" w:sz="8" w:space="0" w:color="auto"/>
              <w:right w:val="single" w:sz="8" w:space="0" w:color="auto"/>
            </w:tcBorders>
            <w:vAlign w:val="center"/>
            <w:hideMark/>
          </w:tcPr>
          <w:p w14:paraId="69072217"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51B3A90A"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3F458837" w14:textId="77777777" w:rsidTr="00CB0FFD">
        <w:trPr>
          <w:trHeight w:val="450"/>
        </w:trPr>
        <w:tc>
          <w:tcPr>
            <w:tcW w:w="2856" w:type="dxa"/>
            <w:tcBorders>
              <w:top w:val="nil"/>
              <w:left w:val="single" w:sz="8" w:space="0" w:color="auto"/>
              <w:bottom w:val="single" w:sz="8" w:space="0" w:color="auto"/>
              <w:right w:val="single" w:sz="8" w:space="0" w:color="auto"/>
            </w:tcBorders>
            <w:vAlign w:val="center"/>
            <w:hideMark/>
          </w:tcPr>
          <w:p w14:paraId="7556ABF9" w14:textId="77777777" w:rsidR="00381CAD" w:rsidRPr="009D544B" w:rsidRDefault="00381CAD" w:rsidP="00CB0FFD">
            <w:pPr>
              <w:autoSpaceDE/>
              <w:autoSpaceDN/>
              <w:adjustRightInd/>
              <w:spacing w:after="0"/>
              <w:rPr>
                <w:rFonts w:eastAsia="Times New Roman" w:cs="Arial"/>
                <w:sz w:val="20"/>
                <w:szCs w:val="20"/>
                <w:lang w:eastAsia="en-GB"/>
              </w:rPr>
            </w:pPr>
            <w:r w:rsidRPr="009D544B">
              <w:rPr>
                <w:rFonts w:eastAsia="Times New Roman" w:cs="Arial"/>
                <w:sz w:val="20"/>
                <w:szCs w:val="20"/>
                <w:lang w:eastAsia="en-GB"/>
              </w:rPr>
              <w:t>Transforming Cities Fund</w:t>
            </w:r>
          </w:p>
        </w:tc>
        <w:tc>
          <w:tcPr>
            <w:tcW w:w="1061" w:type="dxa"/>
            <w:tcBorders>
              <w:top w:val="nil"/>
              <w:left w:val="nil"/>
              <w:bottom w:val="single" w:sz="8" w:space="0" w:color="auto"/>
              <w:right w:val="single" w:sz="8" w:space="0" w:color="auto"/>
            </w:tcBorders>
            <w:vAlign w:val="center"/>
            <w:hideMark/>
          </w:tcPr>
          <w:p w14:paraId="1910725C" w14:textId="77777777" w:rsidR="00381CAD" w:rsidRPr="009D544B" w:rsidRDefault="00381CAD" w:rsidP="00CB0FFD">
            <w:pPr>
              <w:autoSpaceDE/>
              <w:autoSpaceDN/>
              <w:adjustRightInd/>
              <w:spacing w:after="0"/>
              <w:jc w:val="right"/>
              <w:rPr>
                <w:rFonts w:eastAsia="Times New Roman" w:cs="Arial"/>
                <w:sz w:val="20"/>
                <w:szCs w:val="20"/>
                <w:lang w:eastAsia="en-GB"/>
              </w:rPr>
            </w:pPr>
            <w:r w:rsidRPr="009D544B">
              <w:rPr>
                <w:rFonts w:eastAsia="Times New Roman" w:cs="Arial"/>
                <w:sz w:val="20"/>
                <w:szCs w:val="20"/>
                <w:lang w:eastAsia="en-GB"/>
              </w:rPr>
              <w:t>0.000</w:t>
            </w:r>
          </w:p>
        </w:tc>
        <w:tc>
          <w:tcPr>
            <w:tcW w:w="1195" w:type="dxa"/>
            <w:tcBorders>
              <w:top w:val="nil"/>
              <w:left w:val="nil"/>
              <w:bottom w:val="single" w:sz="8" w:space="0" w:color="auto"/>
              <w:right w:val="single" w:sz="8" w:space="0" w:color="auto"/>
            </w:tcBorders>
            <w:vAlign w:val="center"/>
            <w:hideMark/>
          </w:tcPr>
          <w:p w14:paraId="26FFF37D" w14:textId="77777777" w:rsidR="00381CAD" w:rsidRPr="009D544B" w:rsidRDefault="00381CAD" w:rsidP="00CB0FFD">
            <w:pPr>
              <w:autoSpaceDE/>
              <w:autoSpaceDN/>
              <w:adjustRightInd/>
              <w:spacing w:after="0"/>
              <w:jc w:val="right"/>
              <w:rPr>
                <w:rFonts w:eastAsia="Times New Roman" w:cs="Arial"/>
                <w:sz w:val="20"/>
                <w:szCs w:val="20"/>
                <w:lang w:eastAsia="en-GB"/>
              </w:rPr>
            </w:pPr>
          </w:p>
        </w:tc>
        <w:tc>
          <w:tcPr>
            <w:tcW w:w="1061" w:type="dxa"/>
            <w:tcBorders>
              <w:top w:val="nil"/>
              <w:left w:val="nil"/>
              <w:bottom w:val="single" w:sz="8" w:space="0" w:color="auto"/>
              <w:right w:val="single" w:sz="8" w:space="0" w:color="auto"/>
            </w:tcBorders>
            <w:vAlign w:val="center"/>
            <w:hideMark/>
          </w:tcPr>
          <w:p w14:paraId="442CC180"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917" w:type="dxa"/>
            <w:tcBorders>
              <w:top w:val="nil"/>
              <w:left w:val="nil"/>
              <w:bottom w:val="single" w:sz="8" w:space="0" w:color="auto"/>
              <w:right w:val="single" w:sz="8" w:space="0" w:color="auto"/>
            </w:tcBorders>
            <w:vAlign w:val="center"/>
            <w:hideMark/>
          </w:tcPr>
          <w:p w14:paraId="04082318"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080" w:type="dxa"/>
            <w:tcBorders>
              <w:top w:val="nil"/>
              <w:left w:val="nil"/>
              <w:bottom w:val="single" w:sz="8" w:space="0" w:color="auto"/>
              <w:right w:val="single" w:sz="8" w:space="0" w:color="auto"/>
            </w:tcBorders>
            <w:vAlign w:val="center"/>
            <w:hideMark/>
          </w:tcPr>
          <w:p w14:paraId="47371028"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c>
          <w:tcPr>
            <w:tcW w:w="1459" w:type="dxa"/>
            <w:tcBorders>
              <w:top w:val="nil"/>
              <w:left w:val="nil"/>
              <w:bottom w:val="single" w:sz="8" w:space="0" w:color="auto"/>
              <w:right w:val="single" w:sz="8" w:space="0" w:color="auto"/>
            </w:tcBorders>
            <w:vAlign w:val="center"/>
            <w:hideMark/>
          </w:tcPr>
          <w:p w14:paraId="2673B077" w14:textId="77777777" w:rsidR="00381CAD" w:rsidRPr="009D544B" w:rsidRDefault="00381CAD" w:rsidP="00CB0FFD">
            <w:pPr>
              <w:autoSpaceDE/>
              <w:autoSpaceDN/>
              <w:adjustRightInd/>
              <w:spacing w:after="0"/>
              <w:jc w:val="right"/>
              <w:rPr>
                <w:rFonts w:ascii="Times New Roman" w:eastAsia="Times New Roman" w:hAnsi="Times New Roman" w:cs="Times New Roman"/>
                <w:color w:val="auto"/>
                <w:sz w:val="20"/>
                <w:szCs w:val="20"/>
                <w:lang w:eastAsia="en-GB"/>
              </w:rPr>
            </w:pPr>
          </w:p>
        </w:tc>
      </w:tr>
      <w:tr w:rsidR="00381CAD" w:rsidRPr="009D544B" w14:paraId="73F0FE17" w14:textId="77777777" w:rsidTr="00CB0FFD">
        <w:trPr>
          <w:trHeight w:val="127"/>
        </w:trPr>
        <w:tc>
          <w:tcPr>
            <w:tcW w:w="2856" w:type="dxa"/>
            <w:tcBorders>
              <w:top w:val="nil"/>
              <w:left w:val="single" w:sz="8" w:space="0" w:color="auto"/>
              <w:bottom w:val="single" w:sz="8" w:space="0" w:color="auto"/>
              <w:right w:val="single" w:sz="8" w:space="0" w:color="auto"/>
            </w:tcBorders>
            <w:vAlign w:val="center"/>
            <w:hideMark/>
          </w:tcPr>
          <w:p w14:paraId="69878EA7" w14:textId="77777777" w:rsidR="00381CAD" w:rsidRPr="009D544B" w:rsidRDefault="00381CAD" w:rsidP="00CB0FFD">
            <w:pPr>
              <w:autoSpaceDE/>
              <w:autoSpaceDN/>
              <w:adjustRightInd/>
              <w:spacing w:after="0"/>
              <w:rPr>
                <w:rFonts w:eastAsia="Times New Roman" w:cs="Arial"/>
                <w:b/>
                <w:bCs/>
                <w:sz w:val="20"/>
                <w:szCs w:val="20"/>
                <w:lang w:eastAsia="en-GB"/>
              </w:rPr>
            </w:pPr>
            <w:r w:rsidRPr="009D544B">
              <w:rPr>
                <w:rFonts w:eastAsia="Times New Roman" w:cs="Arial"/>
                <w:b/>
                <w:bCs/>
                <w:sz w:val="20"/>
                <w:szCs w:val="20"/>
                <w:lang w:eastAsia="en-GB"/>
              </w:rPr>
              <w:t>Grand Total</w:t>
            </w:r>
          </w:p>
        </w:tc>
        <w:tc>
          <w:tcPr>
            <w:tcW w:w="1061" w:type="dxa"/>
            <w:tcBorders>
              <w:top w:val="nil"/>
              <w:left w:val="nil"/>
              <w:bottom w:val="single" w:sz="8" w:space="0" w:color="auto"/>
              <w:right w:val="single" w:sz="8" w:space="0" w:color="auto"/>
            </w:tcBorders>
            <w:vAlign w:val="center"/>
            <w:hideMark/>
          </w:tcPr>
          <w:p w14:paraId="1078935C"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13.806</w:t>
            </w:r>
          </w:p>
        </w:tc>
        <w:tc>
          <w:tcPr>
            <w:tcW w:w="1195" w:type="dxa"/>
            <w:tcBorders>
              <w:top w:val="nil"/>
              <w:left w:val="nil"/>
              <w:bottom w:val="single" w:sz="8" w:space="0" w:color="auto"/>
              <w:right w:val="single" w:sz="8" w:space="0" w:color="auto"/>
            </w:tcBorders>
            <w:vAlign w:val="center"/>
            <w:hideMark/>
          </w:tcPr>
          <w:p w14:paraId="7CB9D91B"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13.626</w:t>
            </w:r>
          </w:p>
        </w:tc>
        <w:tc>
          <w:tcPr>
            <w:tcW w:w="1061" w:type="dxa"/>
            <w:tcBorders>
              <w:top w:val="nil"/>
              <w:left w:val="nil"/>
              <w:bottom w:val="single" w:sz="8" w:space="0" w:color="auto"/>
              <w:right w:val="single" w:sz="8" w:space="0" w:color="auto"/>
            </w:tcBorders>
            <w:vAlign w:val="center"/>
            <w:hideMark/>
          </w:tcPr>
          <w:p w14:paraId="00CAD2DB"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5.410</w:t>
            </w:r>
          </w:p>
        </w:tc>
        <w:tc>
          <w:tcPr>
            <w:tcW w:w="917" w:type="dxa"/>
            <w:tcBorders>
              <w:top w:val="nil"/>
              <w:left w:val="nil"/>
              <w:bottom w:val="single" w:sz="8" w:space="0" w:color="auto"/>
              <w:right w:val="single" w:sz="8" w:space="0" w:color="auto"/>
            </w:tcBorders>
            <w:vAlign w:val="center"/>
            <w:hideMark/>
          </w:tcPr>
          <w:p w14:paraId="0007BA5C"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-4.149</w:t>
            </w:r>
          </w:p>
        </w:tc>
        <w:tc>
          <w:tcPr>
            <w:tcW w:w="1080" w:type="dxa"/>
            <w:tcBorders>
              <w:top w:val="nil"/>
              <w:left w:val="nil"/>
              <w:bottom w:val="single" w:sz="8" w:space="0" w:color="auto"/>
              <w:right w:val="single" w:sz="8" w:space="0" w:color="auto"/>
            </w:tcBorders>
            <w:vAlign w:val="center"/>
            <w:hideMark/>
          </w:tcPr>
          <w:p w14:paraId="438501A3"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0.523</w:t>
            </w:r>
          </w:p>
        </w:tc>
        <w:tc>
          <w:tcPr>
            <w:tcW w:w="1459" w:type="dxa"/>
            <w:tcBorders>
              <w:top w:val="nil"/>
              <w:left w:val="nil"/>
              <w:bottom w:val="single" w:sz="8" w:space="0" w:color="auto"/>
              <w:right w:val="single" w:sz="8" w:space="0" w:color="auto"/>
            </w:tcBorders>
            <w:vAlign w:val="center"/>
            <w:hideMark/>
          </w:tcPr>
          <w:p w14:paraId="609CA19D" w14:textId="77777777" w:rsidR="00381CAD" w:rsidRPr="009D544B" w:rsidRDefault="00381CAD" w:rsidP="00CB0FFD">
            <w:pPr>
              <w:autoSpaceDE/>
              <w:autoSpaceDN/>
              <w:adjustRightInd/>
              <w:spacing w:after="0"/>
              <w:jc w:val="right"/>
              <w:rPr>
                <w:rFonts w:eastAsia="Times New Roman" w:cs="Arial"/>
                <w:b/>
                <w:bCs/>
                <w:sz w:val="20"/>
                <w:szCs w:val="20"/>
                <w:lang w:eastAsia="en-GB"/>
              </w:rPr>
            </w:pPr>
            <w:r w:rsidRPr="009D544B">
              <w:rPr>
                <w:rFonts w:eastAsia="Times New Roman" w:cs="Arial"/>
                <w:b/>
                <w:bCs/>
                <w:sz w:val="20"/>
                <w:szCs w:val="20"/>
                <w:lang w:eastAsia="en-GB"/>
              </w:rPr>
              <w:t>-1.605</w:t>
            </w:r>
          </w:p>
        </w:tc>
      </w:tr>
    </w:tbl>
    <w:p w14:paraId="65D20991" w14:textId="4F55786E" w:rsidR="00783F29" w:rsidRPr="004F480D" w:rsidRDefault="00783F29" w:rsidP="0096562E">
      <w:pPr>
        <w:pStyle w:val="Figurecaption"/>
        <w:keepNext/>
        <w:rPr>
          <w:highlight w:val="yellow"/>
        </w:rPr>
      </w:pPr>
    </w:p>
    <w:bookmarkEnd w:id="1"/>
    <w:p w14:paraId="26B5F98E" w14:textId="42572316" w:rsidR="00BB31E2" w:rsidRDefault="00BB31E2" w:rsidP="003B7520">
      <w:pPr>
        <w:pStyle w:val="Figurecaption"/>
      </w:pPr>
    </w:p>
    <w:p w14:paraId="23E9CDD9" w14:textId="5B8AC2EA" w:rsidR="00381CAD" w:rsidRDefault="00381CAD" w:rsidP="003B7520">
      <w:pPr>
        <w:pStyle w:val="Figurecaption"/>
      </w:pPr>
    </w:p>
    <w:p w14:paraId="756476FA" w14:textId="2A354B35" w:rsidR="00381CAD" w:rsidRDefault="00381CAD" w:rsidP="003B7520">
      <w:pPr>
        <w:pStyle w:val="Figurecaption"/>
      </w:pPr>
    </w:p>
    <w:p w14:paraId="599309CB" w14:textId="78EB8CE8" w:rsidR="00381CAD" w:rsidRDefault="00381CAD" w:rsidP="003B7520">
      <w:pPr>
        <w:pStyle w:val="Figurecaption"/>
      </w:pPr>
    </w:p>
    <w:p w14:paraId="7F898A27" w14:textId="5A85ED55" w:rsidR="00381CAD" w:rsidRDefault="00381CAD" w:rsidP="003B7520">
      <w:pPr>
        <w:pStyle w:val="Figurecaption"/>
      </w:pPr>
    </w:p>
    <w:p w14:paraId="5EEEB6C2" w14:textId="06E62B5D" w:rsidR="00381CAD" w:rsidRDefault="00381CAD" w:rsidP="003B7520">
      <w:pPr>
        <w:pStyle w:val="Figurecaption"/>
      </w:pPr>
    </w:p>
    <w:p w14:paraId="471A3E11" w14:textId="54CBDD41" w:rsidR="00381CAD" w:rsidRDefault="00381CAD" w:rsidP="003B7520">
      <w:pPr>
        <w:pStyle w:val="Figurecaption"/>
      </w:pPr>
    </w:p>
    <w:p w14:paraId="2BF3E09B" w14:textId="45FC538E" w:rsidR="00381CAD" w:rsidRDefault="00381CAD" w:rsidP="003B7520">
      <w:pPr>
        <w:pStyle w:val="Figurecaption"/>
      </w:pPr>
    </w:p>
    <w:p w14:paraId="7C1E3FBB" w14:textId="2F7FDE46" w:rsidR="00381CAD" w:rsidRDefault="00381CAD" w:rsidP="003B7520">
      <w:pPr>
        <w:pStyle w:val="Figurecaption"/>
      </w:pPr>
    </w:p>
    <w:p w14:paraId="577EE84A" w14:textId="3AA235F3" w:rsidR="00381CAD" w:rsidRDefault="00381CAD" w:rsidP="003B7520">
      <w:pPr>
        <w:pStyle w:val="Figurecaption"/>
      </w:pPr>
    </w:p>
    <w:p w14:paraId="7BFC87A9" w14:textId="21ED5D2D" w:rsidR="00381CAD" w:rsidRDefault="00381CAD" w:rsidP="003B7520">
      <w:pPr>
        <w:pStyle w:val="Figurecaption"/>
      </w:pPr>
    </w:p>
    <w:p w14:paraId="2A1C47B6" w14:textId="19F7EC15" w:rsidR="00381CAD" w:rsidRDefault="00381CAD" w:rsidP="003B7520">
      <w:pPr>
        <w:pStyle w:val="Figurecaption"/>
      </w:pPr>
    </w:p>
    <w:p w14:paraId="5728A8BC" w14:textId="4DDE1C99" w:rsidR="00381CAD" w:rsidRDefault="00381CAD" w:rsidP="003B7520">
      <w:pPr>
        <w:pStyle w:val="Figurecaption"/>
      </w:pPr>
    </w:p>
    <w:p w14:paraId="5CFBED6D" w14:textId="47D05241" w:rsidR="00381CAD" w:rsidRDefault="00381CAD" w:rsidP="003B7520">
      <w:pPr>
        <w:pStyle w:val="Figurecaption"/>
      </w:pPr>
    </w:p>
    <w:p w14:paraId="1DF0516C" w14:textId="27704C7D" w:rsidR="00381CAD" w:rsidRDefault="00381CAD" w:rsidP="003B7520">
      <w:pPr>
        <w:pStyle w:val="Figurecaption"/>
      </w:pPr>
    </w:p>
    <w:p w14:paraId="1A33305A" w14:textId="38D2B779" w:rsidR="00381CAD" w:rsidRDefault="00381CAD" w:rsidP="003B7520">
      <w:pPr>
        <w:pStyle w:val="Figurecaption"/>
      </w:pPr>
    </w:p>
    <w:p w14:paraId="7DCDCB38" w14:textId="5F06144B" w:rsidR="00381CAD" w:rsidRDefault="00381CAD" w:rsidP="00381CAD">
      <w:pPr>
        <w:spacing w:after="0"/>
        <w:contextualSpacing/>
        <w:rPr>
          <w:rFonts w:cs="Arial"/>
          <w:b/>
        </w:rPr>
      </w:pPr>
    </w:p>
    <w:p w14:paraId="07455984" w14:textId="77777777" w:rsidR="00821D17" w:rsidRPr="00381CAD" w:rsidRDefault="00821D17" w:rsidP="00381CAD">
      <w:pPr>
        <w:spacing w:after="0"/>
        <w:contextualSpacing/>
        <w:rPr>
          <w:rFonts w:cs="Arial"/>
          <w:b/>
        </w:rPr>
      </w:pPr>
    </w:p>
    <w:p w14:paraId="5AFA1203" w14:textId="77777777" w:rsidR="00381CAD" w:rsidRPr="00381CAD" w:rsidRDefault="00381CAD" w:rsidP="00381CAD">
      <w:pPr>
        <w:numPr>
          <w:ilvl w:val="0"/>
          <w:numId w:val="5"/>
        </w:numPr>
        <w:autoSpaceDE/>
        <w:autoSpaceDN/>
        <w:adjustRightInd/>
        <w:spacing w:after="160" w:line="259" w:lineRule="auto"/>
        <w:contextualSpacing/>
        <w:jc w:val="left"/>
        <w:rPr>
          <w:rFonts w:cs="Arial"/>
          <w:b/>
        </w:rPr>
      </w:pPr>
      <w:r w:rsidRPr="00381CAD">
        <w:rPr>
          <w:rFonts w:cs="Arial"/>
          <w:b/>
        </w:rPr>
        <w:lastRenderedPageBreak/>
        <w:t>Variance Analysis</w:t>
      </w:r>
    </w:p>
    <w:p w14:paraId="4691E1DE" w14:textId="77777777" w:rsidR="00381CAD" w:rsidRPr="00381CAD" w:rsidRDefault="00381CAD" w:rsidP="00821D17">
      <w:pPr>
        <w:spacing w:after="0"/>
        <w:rPr>
          <w:rFonts w:cs="Arial"/>
        </w:rPr>
      </w:pPr>
      <w:r w:rsidRPr="00381CAD">
        <w:rPr>
          <w:rFonts w:cs="Arial"/>
        </w:rPr>
        <w:t xml:space="preserve">The forecast outturn as </w:t>
      </w:r>
      <w:proofErr w:type="gramStart"/>
      <w:r w:rsidRPr="00381CAD">
        <w:rPr>
          <w:rFonts w:cs="Arial"/>
        </w:rPr>
        <w:t>at</w:t>
      </w:r>
      <w:proofErr w:type="gramEnd"/>
      <w:r w:rsidRPr="00381CAD">
        <w:rPr>
          <w:rFonts w:cs="Arial"/>
        </w:rPr>
        <w:t xml:space="preserve"> September 2022 against this revised delivery plan of £222.069m is £172.135m, giving an expected variance of -£49.934m. A breakdown of the variance at block level is shown in table 2 below.</w:t>
      </w:r>
    </w:p>
    <w:p w14:paraId="6592E740" w14:textId="77777777" w:rsidR="00381CAD" w:rsidRPr="00381CAD" w:rsidRDefault="00381CAD" w:rsidP="00821D17">
      <w:pPr>
        <w:spacing w:after="0"/>
        <w:rPr>
          <w:rFonts w:cs="Arial"/>
          <w:b/>
        </w:rPr>
      </w:pPr>
    </w:p>
    <w:p w14:paraId="4FBE67C7" w14:textId="77777777" w:rsidR="00381CAD" w:rsidRPr="00381CAD" w:rsidRDefault="00381CAD" w:rsidP="00821D17">
      <w:pPr>
        <w:spacing w:after="0"/>
        <w:rPr>
          <w:rFonts w:cs="Arial"/>
          <w:b/>
        </w:rPr>
      </w:pPr>
      <w:r w:rsidRPr="00381CAD">
        <w:rPr>
          <w:rFonts w:cs="Arial"/>
          <w:b/>
        </w:rPr>
        <w:t xml:space="preserve">Table 2 – Summary Capital Delivery Programme Position as </w:t>
      </w:r>
      <w:proofErr w:type="gramStart"/>
      <w:r w:rsidRPr="00381CAD">
        <w:rPr>
          <w:rFonts w:cs="Arial"/>
          <w:b/>
        </w:rPr>
        <w:t>at</w:t>
      </w:r>
      <w:proofErr w:type="gramEnd"/>
      <w:r w:rsidRPr="00381CAD">
        <w:rPr>
          <w:rFonts w:cs="Arial"/>
          <w:b/>
        </w:rPr>
        <w:t xml:space="preserve"> 30</w:t>
      </w:r>
      <w:r w:rsidRPr="00381CAD">
        <w:rPr>
          <w:rFonts w:cs="Arial"/>
          <w:b/>
          <w:vertAlign w:val="superscript"/>
        </w:rPr>
        <w:t>th</w:t>
      </w:r>
      <w:r w:rsidRPr="00381CAD">
        <w:rPr>
          <w:rFonts w:cs="Arial"/>
          <w:b/>
        </w:rPr>
        <w:t xml:space="preserve"> September 2022</w:t>
      </w:r>
    </w:p>
    <w:tbl>
      <w:tblPr>
        <w:tblW w:w="11275" w:type="dxa"/>
        <w:tblLook w:val="04A0" w:firstRow="1" w:lastRow="0" w:firstColumn="1" w:lastColumn="0" w:noHBand="0" w:noVBand="1"/>
      </w:tblPr>
      <w:tblGrid>
        <w:gridCol w:w="2263"/>
        <w:gridCol w:w="1418"/>
        <w:gridCol w:w="1276"/>
        <w:gridCol w:w="1275"/>
        <w:gridCol w:w="1560"/>
        <w:gridCol w:w="1560"/>
        <w:gridCol w:w="1923"/>
      </w:tblGrid>
      <w:tr w:rsidR="00381CAD" w:rsidRPr="00381CAD" w14:paraId="58111F59" w14:textId="77777777" w:rsidTr="00CB0FFD">
        <w:trPr>
          <w:gridAfter w:val="1"/>
          <w:wAfter w:w="1923" w:type="dxa"/>
          <w:trHeight w:val="450"/>
        </w:trPr>
        <w:tc>
          <w:tcPr>
            <w:tcW w:w="226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56A01BDA"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Service Area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7595CE0"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Total delivery programme for 2022/23</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A4CDFAF"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Spend to 30</w:t>
            </w:r>
            <w:r w:rsidRPr="00381CAD">
              <w:rPr>
                <w:rFonts w:eastAsia="Times New Roman" w:cs="Arial"/>
                <w:b/>
                <w:bCs/>
                <w:sz w:val="20"/>
                <w:szCs w:val="20"/>
                <w:vertAlign w:val="superscript"/>
                <w:lang w:eastAsia="en-GB"/>
              </w:rPr>
              <w:t>th</w:t>
            </w:r>
            <w:r w:rsidRPr="00381CAD">
              <w:rPr>
                <w:rFonts w:eastAsia="Times New Roman" w:cs="Arial"/>
                <w:b/>
                <w:bCs/>
                <w:sz w:val="20"/>
                <w:szCs w:val="20"/>
                <w:lang w:eastAsia="en-GB"/>
              </w:rPr>
              <w:t xml:space="preserve"> September 2022</w:t>
            </w:r>
          </w:p>
        </w:tc>
        <w:tc>
          <w:tcPr>
            <w:tcW w:w="1275" w:type="dxa"/>
            <w:vMerge w:val="restart"/>
            <w:tcBorders>
              <w:top w:val="single" w:sz="4" w:space="0" w:color="auto"/>
              <w:left w:val="single" w:sz="4" w:space="0" w:color="auto"/>
              <w:bottom w:val="single" w:sz="4" w:space="0" w:color="auto"/>
              <w:right w:val="nil"/>
            </w:tcBorders>
            <w:shd w:val="clear" w:color="000000" w:fill="D9D9D9"/>
            <w:vAlign w:val="center"/>
            <w:hideMark/>
          </w:tcPr>
          <w:p w14:paraId="122DFC0B"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Total Forecast spend 2022/23</w:t>
            </w:r>
          </w:p>
        </w:tc>
        <w:tc>
          <w:tcPr>
            <w:tcW w:w="1560" w:type="dxa"/>
            <w:vMerge w:val="restart"/>
            <w:tcBorders>
              <w:top w:val="single" w:sz="4" w:space="0" w:color="auto"/>
              <w:left w:val="single" w:sz="4" w:space="0" w:color="auto"/>
              <w:right w:val="single" w:sz="4" w:space="0" w:color="auto"/>
            </w:tcBorders>
            <w:shd w:val="clear" w:color="000000" w:fill="D9D9D9"/>
          </w:tcPr>
          <w:p w14:paraId="092ADFB5" w14:textId="77777777" w:rsidR="00381CAD" w:rsidRPr="00381CAD" w:rsidRDefault="00381CAD" w:rsidP="00381CAD">
            <w:pPr>
              <w:spacing w:after="0"/>
              <w:jc w:val="center"/>
              <w:rPr>
                <w:rFonts w:eastAsia="Times New Roman" w:cs="Arial"/>
                <w:b/>
                <w:bCs/>
                <w:sz w:val="20"/>
                <w:szCs w:val="20"/>
                <w:lang w:eastAsia="en-GB"/>
              </w:rPr>
            </w:pPr>
          </w:p>
          <w:p w14:paraId="4CD4CE96"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Forecast Variance as at Sept 22</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06344D"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Forecast Variance as at Jun 22</w:t>
            </w:r>
          </w:p>
        </w:tc>
      </w:tr>
      <w:tr w:rsidR="00381CAD" w:rsidRPr="00381CAD" w14:paraId="28DE9348" w14:textId="77777777" w:rsidTr="00CB0FFD">
        <w:trPr>
          <w:trHeight w:val="91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23EC8E13" w14:textId="77777777" w:rsidR="00381CAD" w:rsidRPr="00381CAD" w:rsidRDefault="00381CAD" w:rsidP="00381CAD">
            <w:pPr>
              <w:spacing w:after="0"/>
              <w:rPr>
                <w:rFonts w:eastAsia="Times New Roman" w:cs="Arial"/>
                <w:b/>
                <w:bCs/>
                <w:sz w:val="20"/>
                <w:szCs w:val="20"/>
                <w:lang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513223A" w14:textId="77777777" w:rsidR="00381CAD" w:rsidRPr="00381CAD" w:rsidRDefault="00381CAD" w:rsidP="00381CAD">
            <w:pPr>
              <w:spacing w:after="0"/>
              <w:rPr>
                <w:rFonts w:eastAsia="Times New Roman" w:cs="Arial"/>
                <w:b/>
                <w:bCs/>
                <w:sz w:val="20"/>
                <w:szCs w:val="20"/>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14F52C" w14:textId="77777777" w:rsidR="00381CAD" w:rsidRPr="00381CAD" w:rsidRDefault="00381CAD" w:rsidP="00381CAD">
            <w:pPr>
              <w:spacing w:after="0"/>
              <w:rPr>
                <w:rFonts w:eastAsia="Times New Roman" w:cs="Arial"/>
                <w:b/>
                <w:bCs/>
                <w:sz w:val="20"/>
                <w:szCs w:val="20"/>
                <w:lang w:eastAsia="en-GB"/>
              </w:rPr>
            </w:pPr>
          </w:p>
        </w:tc>
        <w:tc>
          <w:tcPr>
            <w:tcW w:w="1275" w:type="dxa"/>
            <w:vMerge/>
            <w:tcBorders>
              <w:top w:val="single" w:sz="4" w:space="0" w:color="auto"/>
              <w:left w:val="single" w:sz="4" w:space="0" w:color="auto"/>
              <w:bottom w:val="single" w:sz="4" w:space="0" w:color="auto"/>
              <w:right w:val="nil"/>
            </w:tcBorders>
            <w:vAlign w:val="center"/>
            <w:hideMark/>
          </w:tcPr>
          <w:p w14:paraId="610E5440" w14:textId="77777777" w:rsidR="00381CAD" w:rsidRPr="00381CAD" w:rsidRDefault="00381CAD" w:rsidP="00381CAD">
            <w:pPr>
              <w:spacing w:after="0"/>
              <w:rPr>
                <w:rFonts w:eastAsia="Times New Roman" w:cs="Arial"/>
                <w:b/>
                <w:bCs/>
                <w:sz w:val="20"/>
                <w:szCs w:val="20"/>
                <w:lang w:eastAsia="en-GB"/>
              </w:rPr>
            </w:pPr>
          </w:p>
        </w:tc>
        <w:tc>
          <w:tcPr>
            <w:tcW w:w="1560" w:type="dxa"/>
            <w:vMerge/>
            <w:tcBorders>
              <w:left w:val="single" w:sz="4" w:space="0" w:color="auto"/>
              <w:bottom w:val="single" w:sz="4" w:space="0" w:color="000000"/>
              <w:right w:val="single" w:sz="4" w:space="0" w:color="auto"/>
            </w:tcBorders>
          </w:tcPr>
          <w:p w14:paraId="7DC30F16" w14:textId="77777777" w:rsidR="00381CAD" w:rsidRPr="00381CAD" w:rsidRDefault="00381CAD" w:rsidP="00381CAD">
            <w:pPr>
              <w:spacing w:after="0"/>
              <w:jc w:val="center"/>
              <w:rPr>
                <w:rFonts w:eastAsia="Times New Roman" w:cs="Arial"/>
                <w:b/>
                <w:bCs/>
                <w:sz w:val="20"/>
                <w:szCs w:val="20"/>
                <w:lang w:eastAsia="en-GB"/>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26B827" w14:textId="77777777" w:rsidR="00381CAD" w:rsidRPr="00381CAD" w:rsidRDefault="00381CAD" w:rsidP="00381CAD">
            <w:pPr>
              <w:spacing w:after="0"/>
              <w:rPr>
                <w:rFonts w:eastAsia="Times New Roman" w:cs="Arial"/>
                <w:b/>
                <w:bCs/>
                <w:sz w:val="20"/>
                <w:szCs w:val="20"/>
                <w:lang w:eastAsia="en-GB"/>
              </w:rPr>
            </w:pPr>
          </w:p>
        </w:tc>
        <w:tc>
          <w:tcPr>
            <w:tcW w:w="1923" w:type="dxa"/>
            <w:tcBorders>
              <w:top w:val="nil"/>
              <w:left w:val="nil"/>
              <w:bottom w:val="nil"/>
              <w:right w:val="nil"/>
            </w:tcBorders>
          </w:tcPr>
          <w:p w14:paraId="4B737F11" w14:textId="77777777" w:rsidR="00381CAD" w:rsidRPr="00381CAD" w:rsidRDefault="00381CAD" w:rsidP="00381CAD">
            <w:pPr>
              <w:spacing w:after="0"/>
              <w:jc w:val="center"/>
              <w:rPr>
                <w:rFonts w:eastAsia="Times New Roman" w:cs="Arial"/>
                <w:b/>
                <w:bCs/>
                <w:sz w:val="20"/>
                <w:szCs w:val="20"/>
                <w:lang w:eastAsia="en-GB"/>
              </w:rPr>
            </w:pPr>
          </w:p>
        </w:tc>
      </w:tr>
      <w:tr w:rsidR="00381CAD" w:rsidRPr="00381CAD" w14:paraId="75178911" w14:textId="77777777" w:rsidTr="00CB0FFD">
        <w:trPr>
          <w:trHeight w:val="465"/>
        </w:trPr>
        <w:tc>
          <w:tcPr>
            <w:tcW w:w="2263" w:type="dxa"/>
            <w:vMerge/>
            <w:tcBorders>
              <w:top w:val="single" w:sz="4" w:space="0" w:color="auto"/>
              <w:left w:val="single" w:sz="4" w:space="0" w:color="auto"/>
              <w:bottom w:val="single" w:sz="4" w:space="0" w:color="000000"/>
              <w:right w:val="single" w:sz="4" w:space="0" w:color="auto"/>
            </w:tcBorders>
            <w:vAlign w:val="center"/>
            <w:hideMark/>
          </w:tcPr>
          <w:p w14:paraId="7DC4FE67" w14:textId="77777777" w:rsidR="00381CAD" w:rsidRPr="00381CAD" w:rsidRDefault="00381CAD" w:rsidP="00381CAD">
            <w:pPr>
              <w:spacing w:after="0"/>
              <w:rPr>
                <w:rFonts w:eastAsia="Times New Roman" w:cs="Arial"/>
                <w:b/>
                <w:bCs/>
                <w:sz w:val="20"/>
                <w:szCs w:val="20"/>
                <w:lang w:eastAsia="en-GB"/>
              </w:rPr>
            </w:pPr>
          </w:p>
        </w:tc>
        <w:tc>
          <w:tcPr>
            <w:tcW w:w="1418" w:type="dxa"/>
            <w:tcBorders>
              <w:top w:val="nil"/>
              <w:left w:val="nil"/>
              <w:bottom w:val="single" w:sz="4" w:space="0" w:color="auto"/>
              <w:right w:val="single" w:sz="4" w:space="0" w:color="auto"/>
            </w:tcBorders>
            <w:shd w:val="clear" w:color="000000" w:fill="D9D9D9"/>
            <w:noWrap/>
            <w:vAlign w:val="center"/>
            <w:hideMark/>
          </w:tcPr>
          <w:p w14:paraId="0960C00A"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276" w:type="dxa"/>
            <w:tcBorders>
              <w:top w:val="nil"/>
              <w:left w:val="nil"/>
              <w:bottom w:val="single" w:sz="4" w:space="0" w:color="auto"/>
              <w:right w:val="single" w:sz="4" w:space="0" w:color="auto"/>
            </w:tcBorders>
            <w:shd w:val="clear" w:color="000000" w:fill="D9D9D9"/>
            <w:noWrap/>
            <w:vAlign w:val="center"/>
            <w:hideMark/>
          </w:tcPr>
          <w:p w14:paraId="5FB3F49B"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275" w:type="dxa"/>
            <w:tcBorders>
              <w:top w:val="nil"/>
              <w:left w:val="nil"/>
              <w:bottom w:val="single" w:sz="4" w:space="0" w:color="auto"/>
              <w:right w:val="nil"/>
            </w:tcBorders>
            <w:shd w:val="clear" w:color="000000" w:fill="D9D9D9"/>
            <w:noWrap/>
            <w:vAlign w:val="center"/>
            <w:hideMark/>
          </w:tcPr>
          <w:p w14:paraId="15BBC843"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560" w:type="dxa"/>
            <w:tcBorders>
              <w:top w:val="nil"/>
              <w:left w:val="single" w:sz="4" w:space="0" w:color="auto"/>
              <w:bottom w:val="single" w:sz="4" w:space="0" w:color="auto"/>
              <w:right w:val="single" w:sz="4" w:space="0" w:color="auto"/>
            </w:tcBorders>
            <w:shd w:val="clear" w:color="000000" w:fill="D9D9D9"/>
          </w:tcPr>
          <w:p w14:paraId="5FFE5FAB" w14:textId="77777777" w:rsidR="00381CAD" w:rsidRPr="00381CAD" w:rsidRDefault="00381CAD" w:rsidP="00381CAD">
            <w:pPr>
              <w:spacing w:after="0"/>
              <w:rPr>
                <w:rFonts w:eastAsia="Times New Roman" w:cs="Arial"/>
                <w:b/>
                <w:bCs/>
                <w:sz w:val="20"/>
                <w:szCs w:val="20"/>
                <w:lang w:eastAsia="en-GB"/>
              </w:rPr>
            </w:pPr>
            <w:r w:rsidRPr="00381CAD">
              <w:rPr>
                <w:rFonts w:eastAsia="Times New Roman" w:cs="Arial"/>
                <w:b/>
                <w:bCs/>
                <w:sz w:val="20"/>
                <w:szCs w:val="20"/>
                <w:lang w:eastAsia="en-GB"/>
              </w:rPr>
              <w:t xml:space="preserve">       </w:t>
            </w:r>
          </w:p>
          <w:p w14:paraId="3CA91F34" w14:textId="77777777" w:rsidR="00381CAD" w:rsidRPr="00381CAD" w:rsidRDefault="00381CAD" w:rsidP="00381CAD">
            <w:pPr>
              <w:spacing w:after="0"/>
              <w:rPr>
                <w:rFonts w:eastAsia="Times New Roman" w:cs="Arial"/>
                <w:b/>
                <w:bCs/>
                <w:sz w:val="20"/>
                <w:szCs w:val="20"/>
                <w:lang w:eastAsia="en-GB"/>
              </w:rPr>
            </w:pPr>
            <w:r w:rsidRPr="00381CAD">
              <w:rPr>
                <w:rFonts w:eastAsia="Times New Roman" w:cs="Arial"/>
                <w:b/>
                <w:bCs/>
                <w:sz w:val="20"/>
                <w:szCs w:val="20"/>
                <w:lang w:eastAsia="en-GB"/>
              </w:rPr>
              <w:t xml:space="preserve">       £m</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3F1EDFF0"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 xml:space="preserve">£m </w:t>
            </w:r>
          </w:p>
        </w:tc>
        <w:tc>
          <w:tcPr>
            <w:tcW w:w="1923" w:type="dxa"/>
          </w:tcPr>
          <w:p w14:paraId="1E81D00F"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6D72AEE6"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22F2452B"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Schools (</w:t>
            </w:r>
            <w:proofErr w:type="spellStart"/>
            <w:r w:rsidRPr="00381CAD">
              <w:rPr>
                <w:rFonts w:eastAsia="Times New Roman" w:cs="Arial"/>
                <w:sz w:val="20"/>
                <w:szCs w:val="20"/>
                <w:lang w:eastAsia="en-GB"/>
              </w:rPr>
              <w:t>exc</w:t>
            </w:r>
            <w:proofErr w:type="spellEnd"/>
            <w:r w:rsidRPr="00381CAD">
              <w:rPr>
                <w:rFonts w:eastAsia="Times New Roman" w:cs="Arial"/>
                <w:sz w:val="20"/>
                <w:szCs w:val="20"/>
                <w:lang w:eastAsia="en-GB"/>
              </w:rPr>
              <w:t xml:space="preserve"> DFC)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543CF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24.772 </w:t>
            </w:r>
          </w:p>
        </w:tc>
        <w:tc>
          <w:tcPr>
            <w:tcW w:w="1276" w:type="dxa"/>
            <w:tcBorders>
              <w:top w:val="nil"/>
              <w:left w:val="nil"/>
              <w:bottom w:val="single" w:sz="4" w:space="0" w:color="auto"/>
              <w:right w:val="single" w:sz="4" w:space="0" w:color="auto"/>
            </w:tcBorders>
            <w:shd w:val="clear" w:color="auto" w:fill="auto"/>
            <w:noWrap/>
            <w:vAlign w:val="center"/>
            <w:hideMark/>
          </w:tcPr>
          <w:p w14:paraId="11B4A2D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8.340 </w:t>
            </w:r>
          </w:p>
        </w:tc>
        <w:tc>
          <w:tcPr>
            <w:tcW w:w="1275" w:type="dxa"/>
            <w:tcBorders>
              <w:top w:val="nil"/>
              <w:left w:val="nil"/>
              <w:bottom w:val="single" w:sz="4" w:space="0" w:color="auto"/>
              <w:right w:val="single" w:sz="4" w:space="0" w:color="auto"/>
            </w:tcBorders>
            <w:shd w:val="clear" w:color="auto" w:fill="auto"/>
            <w:noWrap/>
            <w:vAlign w:val="center"/>
            <w:hideMark/>
          </w:tcPr>
          <w:p w14:paraId="59D8897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24.539 </w:t>
            </w:r>
          </w:p>
        </w:tc>
        <w:tc>
          <w:tcPr>
            <w:tcW w:w="1560" w:type="dxa"/>
            <w:tcBorders>
              <w:top w:val="nil"/>
              <w:left w:val="nil"/>
              <w:bottom w:val="single" w:sz="4" w:space="0" w:color="auto"/>
              <w:right w:val="single" w:sz="4" w:space="0" w:color="auto"/>
            </w:tcBorders>
            <w:shd w:val="clear" w:color="auto" w:fill="BFBFBF"/>
            <w:vAlign w:val="center"/>
          </w:tcPr>
          <w:p w14:paraId="631DA4B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-0.233 </w:t>
            </w:r>
          </w:p>
        </w:tc>
        <w:tc>
          <w:tcPr>
            <w:tcW w:w="1560" w:type="dxa"/>
            <w:tcBorders>
              <w:top w:val="nil"/>
              <w:left w:val="nil"/>
              <w:bottom w:val="single" w:sz="4" w:space="0" w:color="auto"/>
              <w:right w:val="single" w:sz="4" w:space="0" w:color="auto"/>
            </w:tcBorders>
            <w:shd w:val="clear" w:color="auto" w:fill="auto"/>
            <w:noWrap/>
            <w:vAlign w:val="center"/>
            <w:hideMark/>
          </w:tcPr>
          <w:p w14:paraId="0345EE0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0.733 </w:t>
            </w:r>
          </w:p>
        </w:tc>
        <w:tc>
          <w:tcPr>
            <w:tcW w:w="1923" w:type="dxa"/>
          </w:tcPr>
          <w:p w14:paraId="2CCA718B"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5C0EF15B"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63AC9062"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Schools DFC</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2BEFEB"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2.338 </w:t>
            </w:r>
          </w:p>
        </w:tc>
        <w:tc>
          <w:tcPr>
            <w:tcW w:w="1276" w:type="dxa"/>
            <w:tcBorders>
              <w:top w:val="nil"/>
              <w:left w:val="nil"/>
              <w:bottom w:val="single" w:sz="4" w:space="0" w:color="auto"/>
              <w:right w:val="single" w:sz="4" w:space="0" w:color="auto"/>
            </w:tcBorders>
            <w:shd w:val="clear" w:color="auto" w:fill="auto"/>
            <w:noWrap/>
            <w:vAlign w:val="center"/>
            <w:hideMark/>
          </w:tcPr>
          <w:p w14:paraId="269FEEE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5" w:type="dxa"/>
            <w:tcBorders>
              <w:top w:val="nil"/>
              <w:left w:val="nil"/>
              <w:bottom w:val="single" w:sz="4" w:space="0" w:color="auto"/>
              <w:right w:val="single" w:sz="4" w:space="0" w:color="auto"/>
            </w:tcBorders>
            <w:shd w:val="clear" w:color="auto" w:fill="auto"/>
            <w:noWrap/>
            <w:vAlign w:val="center"/>
            <w:hideMark/>
          </w:tcPr>
          <w:p w14:paraId="609DCAF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2.338 </w:t>
            </w:r>
          </w:p>
        </w:tc>
        <w:tc>
          <w:tcPr>
            <w:tcW w:w="1560" w:type="dxa"/>
            <w:tcBorders>
              <w:top w:val="nil"/>
              <w:left w:val="nil"/>
              <w:bottom w:val="single" w:sz="4" w:space="0" w:color="auto"/>
              <w:right w:val="single" w:sz="4" w:space="0" w:color="auto"/>
            </w:tcBorders>
            <w:shd w:val="clear" w:color="auto" w:fill="BFBFBF"/>
            <w:vAlign w:val="center"/>
          </w:tcPr>
          <w:p w14:paraId="207F7F6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560" w:type="dxa"/>
            <w:tcBorders>
              <w:top w:val="nil"/>
              <w:left w:val="nil"/>
              <w:bottom w:val="single" w:sz="4" w:space="0" w:color="auto"/>
              <w:right w:val="single" w:sz="4" w:space="0" w:color="auto"/>
            </w:tcBorders>
            <w:shd w:val="clear" w:color="auto" w:fill="auto"/>
            <w:noWrap/>
            <w:vAlign w:val="center"/>
            <w:hideMark/>
          </w:tcPr>
          <w:p w14:paraId="5646816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69E046F4"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54893DB8"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444E0D6B"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Highways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65A827"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49.962 </w:t>
            </w:r>
          </w:p>
        </w:tc>
        <w:tc>
          <w:tcPr>
            <w:tcW w:w="1276" w:type="dxa"/>
            <w:tcBorders>
              <w:top w:val="nil"/>
              <w:left w:val="nil"/>
              <w:bottom w:val="single" w:sz="4" w:space="0" w:color="auto"/>
              <w:right w:val="single" w:sz="4" w:space="0" w:color="auto"/>
            </w:tcBorders>
            <w:shd w:val="clear" w:color="auto" w:fill="auto"/>
            <w:noWrap/>
            <w:vAlign w:val="center"/>
            <w:hideMark/>
          </w:tcPr>
          <w:p w14:paraId="33F0915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24.261 </w:t>
            </w:r>
          </w:p>
        </w:tc>
        <w:tc>
          <w:tcPr>
            <w:tcW w:w="1275" w:type="dxa"/>
            <w:tcBorders>
              <w:top w:val="nil"/>
              <w:left w:val="nil"/>
              <w:bottom w:val="single" w:sz="4" w:space="0" w:color="auto"/>
              <w:right w:val="single" w:sz="4" w:space="0" w:color="auto"/>
            </w:tcBorders>
            <w:shd w:val="clear" w:color="auto" w:fill="auto"/>
            <w:noWrap/>
            <w:vAlign w:val="center"/>
            <w:hideMark/>
          </w:tcPr>
          <w:p w14:paraId="2F03D6A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52.275 </w:t>
            </w:r>
          </w:p>
        </w:tc>
        <w:tc>
          <w:tcPr>
            <w:tcW w:w="1560" w:type="dxa"/>
            <w:tcBorders>
              <w:top w:val="nil"/>
              <w:left w:val="nil"/>
              <w:bottom w:val="single" w:sz="4" w:space="0" w:color="auto"/>
              <w:right w:val="single" w:sz="4" w:space="0" w:color="auto"/>
            </w:tcBorders>
            <w:shd w:val="clear" w:color="auto" w:fill="BFBFBF"/>
            <w:vAlign w:val="center"/>
          </w:tcPr>
          <w:p w14:paraId="414D8351"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2.313 </w:t>
            </w:r>
          </w:p>
        </w:tc>
        <w:tc>
          <w:tcPr>
            <w:tcW w:w="1560" w:type="dxa"/>
            <w:tcBorders>
              <w:top w:val="nil"/>
              <w:left w:val="nil"/>
              <w:bottom w:val="single" w:sz="4" w:space="0" w:color="auto"/>
              <w:right w:val="single" w:sz="4" w:space="0" w:color="auto"/>
            </w:tcBorders>
            <w:shd w:val="clear" w:color="auto" w:fill="auto"/>
            <w:noWrap/>
            <w:vAlign w:val="center"/>
            <w:hideMark/>
          </w:tcPr>
          <w:p w14:paraId="55B38BA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6402A538"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66DE3DC2"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301196A8"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Transport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CD8A9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23.594 </w:t>
            </w:r>
          </w:p>
        </w:tc>
        <w:tc>
          <w:tcPr>
            <w:tcW w:w="1276" w:type="dxa"/>
            <w:tcBorders>
              <w:top w:val="nil"/>
              <w:left w:val="nil"/>
              <w:bottom w:val="single" w:sz="4" w:space="0" w:color="auto"/>
              <w:right w:val="single" w:sz="4" w:space="0" w:color="auto"/>
            </w:tcBorders>
            <w:shd w:val="clear" w:color="auto" w:fill="auto"/>
            <w:noWrap/>
            <w:vAlign w:val="center"/>
            <w:hideMark/>
          </w:tcPr>
          <w:p w14:paraId="4149A6DB"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7.820 </w:t>
            </w:r>
          </w:p>
        </w:tc>
        <w:tc>
          <w:tcPr>
            <w:tcW w:w="1275" w:type="dxa"/>
            <w:tcBorders>
              <w:top w:val="nil"/>
              <w:left w:val="nil"/>
              <w:bottom w:val="single" w:sz="4" w:space="0" w:color="auto"/>
              <w:right w:val="single" w:sz="4" w:space="0" w:color="auto"/>
            </w:tcBorders>
            <w:shd w:val="clear" w:color="auto" w:fill="auto"/>
            <w:noWrap/>
            <w:vAlign w:val="center"/>
            <w:hideMark/>
          </w:tcPr>
          <w:p w14:paraId="4192F2A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17.805 </w:t>
            </w:r>
          </w:p>
        </w:tc>
        <w:tc>
          <w:tcPr>
            <w:tcW w:w="1560" w:type="dxa"/>
            <w:tcBorders>
              <w:top w:val="nil"/>
              <w:left w:val="nil"/>
              <w:bottom w:val="single" w:sz="4" w:space="0" w:color="auto"/>
              <w:right w:val="single" w:sz="4" w:space="0" w:color="auto"/>
            </w:tcBorders>
            <w:shd w:val="clear" w:color="auto" w:fill="BFBFBF"/>
            <w:vAlign w:val="center"/>
          </w:tcPr>
          <w:p w14:paraId="3D73DB5E"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-5.789 </w:t>
            </w:r>
          </w:p>
        </w:tc>
        <w:tc>
          <w:tcPr>
            <w:tcW w:w="1560" w:type="dxa"/>
            <w:tcBorders>
              <w:top w:val="nil"/>
              <w:left w:val="nil"/>
              <w:bottom w:val="single" w:sz="4" w:space="0" w:color="auto"/>
              <w:right w:val="single" w:sz="4" w:space="0" w:color="auto"/>
            </w:tcBorders>
            <w:shd w:val="clear" w:color="auto" w:fill="auto"/>
            <w:noWrap/>
            <w:vAlign w:val="center"/>
            <w:hideMark/>
          </w:tcPr>
          <w:p w14:paraId="20B371C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1F219858"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3E1D9982"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76F43ADA"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Externally Funded</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82B54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2.017 </w:t>
            </w:r>
          </w:p>
        </w:tc>
        <w:tc>
          <w:tcPr>
            <w:tcW w:w="1276" w:type="dxa"/>
            <w:tcBorders>
              <w:top w:val="nil"/>
              <w:left w:val="nil"/>
              <w:bottom w:val="single" w:sz="4" w:space="0" w:color="auto"/>
              <w:right w:val="single" w:sz="4" w:space="0" w:color="auto"/>
            </w:tcBorders>
            <w:shd w:val="clear" w:color="auto" w:fill="auto"/>
            <w:noWrap/>
            <w:vAlign w:val="center"/>
            <w:hideMark/>
          </w:tcPr>
          <w:p w14:paraId="3B7251C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0.435 </w:t>
            </w:r>
          </w:p>
        </w:tc>
        <w:tc>
          <w:tcPr>
            <w:tcW w:w="1275" w:type="dxa"/>
            <w:tcBorders>
              <w:top w:val="nil"/>
              <w:left w:val="nil"/>
              <w:bottom w:val="single" w:sz="4" w:space="0" w:color="auto"/>
              <w:right w:val="single" w:sz="4" w:space="0" w:color="auto"/>
            </w:tcBorders>
            <w:shd w:val="clear" w:color="auto" w:fill="auto"/>
            <w:noWrap/>
            <w:vAlign w:val="center"/>
            <w:hideMark/>
          </w:tcPr>
          <w:p w14:paraId="2BB7C3A4"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1.465 </w:t>
            </w:r>
          </w:p>
        </w:tc>
        <w:tc>
          <w:tcPr>
            <w:tcW w:w="1560" w:type="dxa"/>
            <w:tcBorders>
              <w:top w:val="nil"/>
              <w:left w:val="nil"/>
              <w:bottom w:val="single" w:sz="4" w:space="0" w:color="auto"/>
              <w:right w:val="single" w:sz="4" w:space="0" w:color="auto"/>
            </w:tcBorders>
            <w:shd w:val="clear" w:color="auto" w:fill="BFBFBF"/>
            <w:vAlign w:val="center"/>
          </w:tcPr>
          <w:p w14:paraId="43D93296"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-0.552 </w:t>
            </w:r>
          </w:p>
        </w:tc>
        <w:tc>
          <w:tcPr>
            <w:tcW w:w="1560" w:type="dxa"/>
            <w:tcBorders>
              <w:top w:val="nil"/>
              <w:left w:val="nil"/>
              <w:bottom w:val="single" w:sz="4" w:space="0" w:color="auto"/>
              <w:right w:val="single" w:sz="4" w:space="0" w:color="auto"/>
            </w:tcBorders>
            <w:shd w:val="clear" w:color="auto" w:fill="auto"/>
            <w:noWrap/>
            <w:vAlign w:val="center"/>
            <w:hideMark/>
          </w:tcPr>
          <w:p w14:paraId="7E766D5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204CD1E9"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5074C41A"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1096DD1B"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Central Systems &amp; ICT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AD163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13.989 </w:t>
            </w:r>
          </w:p>
        </w:tc>
        <w:tc>
          <w:tcPr>
            <w:tcW w:w="1276" w:type="dxa"/>
            <w:tcBorders>
              <w:top w:val="nil"/>
              <w:left w:val="nil"/>
              <w:bottom w:val="single" w:sz="4" w:space="0" w:color="auto"/>
              <w:right w:val="single" w:sz="4" w:space="0" w:color="auto"/>
            </w:tcBorders>
            <w:shd w:val="clear" w:color="auto" w:fill="auto"/>
            <w:noWrap/>
            <w:vAlign w:val="center"/>
            <w:hideMark/>
          </w:tcPr>
          <w:p w14:paraId="393A522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3.633 </w:t>
            </w:r>
          </w:p>
        </w:tc>
        <w:tc>
          <w:tcPr>
            <w:tcW w:w="1275" w:type="dxa"/>
            <w:tcBorders>
              <w:top w:val="nil"/>
              <w:left w:val="nil"/>
              <w:bottom w:val="single" w:sz="4" w:space="0" w:color="auto"/>
              <w:right w:val="single" w:sz="4" w:space="0" w:color="auto"/>
            </w:tcBorders>
            <w:shd w:val="clear" w:color="auto" w:fill="auto"/>
            <w:noWrap/>
            <w:vAlign w:val="center"/>
            <w:hideMark/>
          </w:tcPr>
          <w:p w14:paraId="0D6DE2DB"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13.550 </w:t>
            </w:r>
          </w:p>
        </w:tc>
        <w:tc>
          <w:tcPr>
            <w:tcW w:w="1560" w:type="dxa"/>
            <w:tcBorders>
              <w:top w:val="nil"/>
              <w:left w:val="nil"/>
              <w:bottom w:val="single" w:sz="4" w:space="0" w:color="auto"/>
              <w:right w:val="single" w:sz="4" w:space="0" w:color="auto"/>
            </w:tcBorders>
            <w:shd w:val="clear" w:color="auto" w:fill="BFBFBF"/>
            <w:vAlign w:val="center"/>
          </w:tcPr>
          <w:p w14:paraId="4BA4B2BD"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-0.439 </w:t>
            </w:r>
          </w:p>
        </w:tc>
        <w:tc>
          <w:tcPr>
            <w:tcW w:w="1560" w:type="dxa"/>
            <w:tcBorders>
              <w:top w:val="nil"/>
              <w:left w:val="nil"/>
              <w:bottom w:val="single" w:sz="4" w:space="0" w:color="auto"/>
              <w:right w:val="single" w:sz="4" w:space="0" w:color="auto"/>
            </w:tcBorders>
            <w:shd w:val="clear" w:color="auto" w:fill="auto"/>
            <w:noWrap/>
            <w:vAlign w:val="center"/>
            <w:hideMark/>
          </w:tcPr>
          <w:p w14:paraId="0869EBE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-0.001 </w:t>
            </w:r>
          </w:p>
        </w:tc>
        <w:tc>
          <w:tcPr>
            <w:tcW w:w="1923" w:type="dxa"/>
          </w:tcPr>
          <w:p w14:paraId="628CD92F"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4A9208E0"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2A940618"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Adults Social Care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BA88B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17.255 </w:t>
            </w:r>
          </w:p>
        </w:tc>
        <w:tc>
          <w:tcPr>
            <w:tcW w:w="1276" w:type="dxa"/>
            <w:tcBorders>
              <w:top w:val="nil"/>
              <w:left w:val="nil"/>
              <w:bottom w:val="single" w:sz="4" w:space="0" w:color="auto"/>
              <w:right w:val="single" w:sz="4" w:space="0" w:color="auto"/>
            </w:tcBorders>
            <w:shd w:val="clear" w:color="auto" w:fill="auto"/>
            <w:noWrap/>
            <w:vAlign w:val="center"/>
            <w:hideMark/>
          </w:tcPr>
          <w:p w14:paraId="0E1C48C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16.715 </w:t>
            </w:r>
          </w:p>
        </w:tc>
        <w:tc>
          <w:tcPr>
            <w:tcW w:w="1275" w:type="dxa"/>
            <w:tcBorders>
              <w:top w:val="nil"/>
              <w:left w:val="nil"/>
              <w:bottom w:val="single" w:sz="4" w:space="0" w:color="auto"/>
              <w:right w:val="single" w:sz="4" w:space="0" w:color="auto"/>
            </w:tcBorders>
            <w:shd w:val="clear" w:color="auto" w:fill="auto"/>
            <w:noWrap/>
            <w:vAlign w:val="center"/>
            <w:hideMark/>
          </w:tcPr>
          <w:p w14:paraId="6E1FA6EB"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17.255 </w:t>
            </w:r>
          </w:p>
        </w:tc>
        <w:tc>
          <w:tcPr>
            <w:tcW w:w="1560" w:type="dxa"/>
            <w:tcBorders>
              <w:top w:val="nil"/>
              <w:left w:val="nil"/>
              <w:bottom w:val="single" w:sz="4" w:space="0" w:color="auto"/>
              <w:right w:val="single" w:sz="4" w:space="0" w:color="auto"/>
            </w:tcBorders>
            <w:shd w:val="clear" w:color="auto" w:fill="BFBFBF"/>
            <w:vAlign w:val="center"/>
          </w:tcPr>
          <w:p w14:paraId="4F5375EA"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0.000 </w:t>
            </w:r>
          </w:p>
        </w:tc>
        <w:tc>
          <w:tcPr>
            <w:tcW w:w="1560" w:type="dxa"/>
            <w:tcBorders>
              <w:top w:val="nil"/>
              <w:left w:val="nil"/>
              <w:bottom w:val="single" w:sz="4" w:space="0" w:color="auto"/>
              <w:right w:val="single" w:sz="4" w:space="0" w:color="auto"/>
            </w:tcBorders>
            <w:shd w:val="clear" w:color="auto" w:fill="auto"/>
            <w:noWrap/>
            <w:vAlign w:val="center"/>
            <w:hideMark/>
          </w:tcPr>
          <w:p w14:paraId="4FDF654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483C40E2"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60D6E94C"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5F6B4CFE"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Corporate - Property</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75A16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22.285 </w:t>
            </w:r>
          </w:p>
        </w:tc>
        <w:tc>
          <w:tcPr>
            <w:tcW w:w="1276" w:type="dxa"/>
            <w:tcBorders>
              <w:top w:val="nil"/>
              <w:left w:val="nil"/>
              <w:bottom w:val="single" w:sz="4" w:space="0" w:color="auto"/>
              <w:right w:val="single" w:sz="4" w:space="0" w:color="auto"/>
            </w:tcBorders>
            <w:shd w:val="clear" w:color="auto" w:fill="auto"/>
            <w:noWrap/>
            <w:vAlign w:val="center"/>
            <w:hideMark/>
          </w:tcPr>
          <w:p w14:paraId="65BD292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5.173 </w:t>
            </w:r>
          </w:p>
        </w:tc>
        <w:tc>
          <w:tcPr>
            <w:tcW w:w="1275" w:type="dxa"/>
            <w:tcBorders>
              <w:top w:val="nil"/>
              <w:left w:val="nil"/>
              <w:bottom w:val="single" w:sz="4" w:space="0" w:color="auto"/>
              <w:right w:val="single" w:sz="4" w:space="0" w:color="auto"/>
            </w:tcBorders>
            <w:shd w:val="clear" w:color="auto" w:fill="auto"/>
            <w:noWrap/>
            <w:vAlign w:val="center"/>
            <w:hideMark/>
          </w:tcPr>
          <w:p w14:paraId="24DFD2D9"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9.230 </w:t>
            </w:r>
          </w:p>
        </w:tc>
        <w:tc>
          <w:tcPr>
            <w:tcW w:w="1560" w:type="dxa"/>
            <w:tcBorders>
              <w:top w:val="nil"/>
              <w:left w:val="nil"/>
              <w:bottom w:val="single" w:sz="4" w:space="0" w:color="auto"/>
              <w:right w:val="single" w:sz="4" w:space="0" w:color="auto"/>
            </w:tcBorders>
            <w:shd w:val="clear" w:color="auto" w:fill="BFBFBF"/>
            <w:vAlign w:val="center"/>
          </w:tcPr>
          <w:p w14:paraId="39A88BF9"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-13.055 </w:t>
            </w:r>
          </w:p>
        </w:tc>
        <w:tc>
          <w:tcPr>
            <w:tcW w:w="1560" w:type="dxa"/>
            <w:tcBorders>
              <w:top w:val="nil"/>
              <w:left w:val="nil"/>
              <w:bottom w:val="single" w:sz="4" w:space="0" w:color="auto"/>
              <w:right w:val="single" w:sz="4" w:space="0" w:color="auto"/>
            </w:tcBorders>
            <w:shd w:val="clear" w:color="auto" w:fill="auto"/>
            <w:noWrap/>
            <w:vAlign w:val="center"/>
            <w:hideMark/>
          </w:tcPr>
          <w:p w14:paraId="120EB1B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-14.670 </w:t>
            </w:r>
          </w:p>
        </w:tc>
        <w:tc>
          <w:tcPr>
            <w:tcW w:w="1923" w:type="dxa"/>
          </w:tcPr>
          <w:p w14:paraId="58C38BCC"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2EF0CFB3"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2FC100CC"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Economic Development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48531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41.567 </w:t>
            </w:r>
          </w:p>
        </w:tc>
        <w:tc>
          <w:tcPr>
            <w:tcW w:w="1276" w:type="dxa"/>
            <w:tcBorders>
              <w:top w:val="nil"/>
              <w:left w:val="nil"/>
              <w:bottom w:val="single" w:sz="4" w:space="0" w:color="auto"/>
              <w:right w:val="single" w:sz="4" w:space="0" w:color="auto"/>
            </w:tcBorders>
            <w:shd w:val="clear" w:color="auto" w:fill="auto"/>
            <w:noWrap/>
            <w:vAlign w:val="center"/>
            <w:hideMark/>
          </w:tcPr>
          <w:p w14:paraId="63A7C5E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5.644 </w:t>
            </w:r>
          </w:p>
        </w:tc>
        <w:tc>
          <w:tcPr>
            <w:tcW w:w="1275" w:type="dxa"/>
            <w:tcBorders>
              <w:top w:val="nil"/>
              <w:left w:val="nil"/>
              <w:bottom w:val="single" w:sz="4" w:space="0" w:color="auto"/>
              <w:right w:val="single" w:sz="4" w:space="0" w:color="auto"/>
            </w:tcBorders>
            <w:shd w:val="clear" w:color="auto" w:fill="auto"/>
            <w:noWrap/>
            <w:vAlign w:val="center"/>
            <w:hideMark/>
          </w:tcPr>
          <w:p w14:paraId="365F61F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13.138 </w:t>
            </w:r>
          </w:p>
        </w:tc>
        <w:tc>
          <w:tcPr>
            <w:tcW w:w="1560" w:type="dxa"/>
            <w:tcBorders>
              <w:top w:val="nil"/>
              <w:left w:val="nil"/>
              <w:bottom w:val="single" w:sz="4" w:space="0" w:color="auto"/>
              <w:right w:val="single" w:sz="4" w:space="0" w:color="auto"/>
            </w:tcBorders>
            <w:shd w:val="clear" w:color="auto" w:fill="BFBFBF"/>
            <w:vAlign w:val="center"/>
          </w:tcPr>
          <w:p w14:paraId="043E2C08"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-28.429 </w:t>
            </w:r>
          </w:p>
        </w:tc>
        <w:tc>
          <w:tcPr>
            <w:tcW w:w="1560" w:type="dxa"/>
            <w:tcBorders>
              <w:top w:val="nil"/>
              <w:left w:val="nil"/>
              <w:bottom w:val="single" w:sz="4" w:space="0" w:color="auto"/>
              <w:right w:val="single" w:sz="4" w:space="0" w:color="auto"/>
            </w:tcBorders>
            <w:shd w:val="clear" w:color="auto" w:fill="auto"/>
            <w:noWrap/>
            <w:vAlign w:val="center"/>
            <w:hideMark/>
          </w:tcPr>
          <w:p w14:paraId="602BE694"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-11.000 </w:t>
            </w:r>
          </w:p>
        </w:tc>
        <w:tc>
          <w:tcPr>
            <w:tcW w:w="1923" w:type="dxa"/>
          </w:tcPr>
          <w:p w14:paraId="0F399409"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0F33521E"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675CC2DE"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South Lancaster Growth Catalyst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ACAB5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4.828 </w:t>
            </w:r>
          </w:p>
        </w:tc>
        <w:tc>
          <w:tcPr>
            <w:tcW w:w="1276" w:type="dxa"/>
            <w:tcBorders>
              <w:top w:val="nil"/>
              <w:left w:val="nil"/>
              <w:bottom w:val="single" w:sz="4" w:space="0" w:color="auto"/>
              <w:right w:val="single" w:sz="4" w:space="0" w:color="auto"/>
            </w:tcBorders>
            <w:shd w:val="clear" w:color="auto" w:fill="auto"/>
            <w:noWrap/>
            <w:vAlign w:val="center"/>
            <w:hideMark/>
          </w:tcPr>
          <w:p w14:paraId="3737247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1.094 </w:t>
            </w:r>
          </w:p>
        </w:tc>
        <w:tc>
          <w:tcPr>
            <w:tcW w:w="1275" w:type="dxa"/>
            <w:tcBorders>
              <w:top w:val="nil"/>
              <w:left w:val="nil"/>
              <w:bottom w:val="single" w:sz="4" w:space="0" w:color="auto"/>
              <w:right w:val="single" w:sz="4" w:space="0" w:color="auto"/>
            </w:tcBorders>
            <w:shd w:val="clear" w:color="auto" w:fill="auto"/>
            <w:noWrap/>
            <w:vAlign w:val="center"/>
            <w:hideMark/>
          </w:tcPr>
          <w:p w14:paraId="597FCC9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4.828 </w:t>
            </w:r>
          </w:p>
        </w:tc>
        <w:tc>
          <w:tcPr>
            <w:tcW w:w="1560" w:type="dxa"/>
            <w:tcBorders>
              <w:top w:val="nil"/>
              <w:left w:val="nil"/>
              <w:bottom w:val="single" w:sz="4" w:space="0" w:color="auto"/>
              <w:right w:val="single" w:sz="4" w:space="0" w:color="auto"/>
            </w:tcBorders>
            <w:shd w:val="clear" w:color="auto" w:fill="BFBFBF"/>
            <w:vAlign w:val="center"/>
          </w:tcPr>
          <w:p w14:paraId="16D990E2"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0.000 </w:t>
            </w:r>
          </w:p>
        </w:tc>
        <w:tc>
          <w:tcPr>
            <w:tcW w:w="1560" w:type="dxa"/>
            <w:tcBorders>
              <w:top w:val="nil"/>
              <w:left w:val="nil"/>
              <w:bottom w:val="single" w:sz="4" w:space="0" w:color="auto"/>
              <w:right w:val="single" w:sz="4" w:space="0" w:color="auto"/>
            </w:tcBorders>
            <w:shd w:val="clear" w:color="auto" w:fill="auto"/>
            <w:noWrap/>
            <w:vAlign w:val="center"/>
            <w:hideMark/>
          </w:tcPr>
          <w:p w14:paraId="3397EC8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6659698E"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24C3E338"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3EE20118"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Vehicles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50D86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4.212 </w:t>
            </w:r>
          </w:p>
        </w:tc>
        <w:tc>
          <w:tcPr>
            <w:tcW w:w="1276" w:type="dxa"/>
            <w:tcBorders>
              <w:top w:val="nil"/>
              <w:left w:val="nil"/>
              <w:bottom w:val="single" w:sz="4" w:space="0" w:color="auto"/>
              <w:right w:val="single" w:sz="4" w:space="0" w:color="auto"/>
            </w:tcBorders>
            <w:shd w:val="clear" w:color="auto" w:fill="auto"/>
            <w:noWrap/>
            <w:vAlign w:val="center"/>
            <w:hideMark/>
          </w:tcPr>
          <w:p w14:paraId="5B8AA35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1.921 </w:t>
            </w:r>
          </w:p>
        </w:tc>
        <w:tc>
          <w:tcPr>
            <w:tcW w:w="1275" w:type="dxa"/>
            <w:tcBorders>
              <w:top w:val="nil"/>
              <w:left w:val="nil"/>
              <w:bottom w:val="single" w:sz="4" w:space="0" w:color="auto"/>
              <w:right w:val="single" w:sz="4" w:space="0" w:color="auto"/>
            </w:tcBorders>
            <w:shd w:val="clear" w:color="auto" w:fill="auto"/>
            <w:noWrap/>
            <w:vAlign w:val="center"/>
            <w:hideMark/>
          </w:tcPr>
          <w:p w14:paraId="70A9E63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4.212 </w:t>
            </w:r>
          </w:p>
        </w:tc>
        <w:tc>
          <w:tcPr>
            <w:tcW w:w="1560" w:type="dxa"/>
            <w:tcBorders>
              <w:top w:val="nil"/>
              <w:left w:val="nil"/>
              <w:bottom w:val="single" w:sz="4" w:space="0" w:color="auto"/>
              <w:right w:val="single" w:sz="4" w:space="0" w:color="auto"/>
            </w:tcBorders>
            <w:shd w:val="clear" w:color="auto" w:fill="BFBFBF"/>
            <w:vAlign w:val="center"/>
          </w:tcPr>
          <w:p w14:paraId="40F2F952"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0.000 </w:t>
            </w:r>
          </w:p>
        </w:tc>
        <w:tc>
          <w:tcPr>
            <w:tcW w:w="1560" w:type="dxa"/>
            <w:tcBorders>
              <w:top w:val="nil"/>
              <w:left w:val="nil"/>
              <w:bottom w:val="single" w:sz="4" w:space="0" w:color="auto"/>
              <w:right w:val="single" w:sz="4" w:space="0" w:color="auto"/>
            </w:tcBorders>
            <w:shd w:val="clear" w:color="auto" w:fill="auto"/>
            <w:noWrap/>
            <w:vAlign w:val="center"/>
            <w:hideMark/>
          </w:tcPr>
          <w:p w14:paraId="4453912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54F3B717"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3098A1FF" w14:textId="77777777" w:rsidTr="00CB0FFD">
        <w:trPr>
          <w:trHeight w:val="465"/>
        </w:trPr>
        <w:tc>
          <w:tcPr>
            <w:tcW w:w="2263" w:type="dxa"/>
            <w:tcBorders>
              <w:top w:val="nil"/>
              <w:left w:val="single" w:sz="4" w:space="0" w:color="auto"/>
              <w:bottom w:val="single" w:sz="4" w:space="0" w:color="auto"/>
              <w:right w:val="nil"/>
            </w:tcBorders>
            <w:shd w:val="clear" w:color="auto" w:fill="auto"/>
            <w:noWrap/>
            <w:vAlign w:val="center"/>
            <w:hideMark/>
          </w:tcPr>
          <w:p w14:paraId="09F0AA79"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Transforming Cities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C8903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15.250 </w:t>
            </w:r>
          </w:p>
        </w:tc>
        <w:tc>
          <w:tcPr>
            <w:tcW w:w="1276" w:type="dxa"/>
            <w:tcBorders>
              <w:top w:val="nil"/>
              <w:left w:val="nil"/>
              <w:bottom w:val="single" w:sz="4" w:space="0" w:color="auto"/>
              <w:right w:val="single" w:sz="4" w:space="0" w:color="auto"/>
            </w:tcBorders>
            <w:shd w:val="clear" w:color="auto" w:fill="auto"/>
            <w:noWrap/>
            <w:vAlign w:val="center"/>
            <w:hideMark/>
          </w:tcPr>
          <w:p w14:paraId="59525B69"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2.728 </w:t>
            </w:r>
          </w:p>
        </w:tc>
        <w:tc>
          <w:tcPr>
            <w:tcW w:w="1275" w:type="dxa"/>
            <w:tcBorders>
              <w:top w:val="nil"/>
              <w:left w:val="nil"/>
              <w:bottom w:val="single" w:sz="4" w:space="0" w:color="auto"/>
              <w:right w:val="single" w:sz="4" w:space="0" w:color="auto"/>
            </w:tcBorders>
            <w:shd w:val="clear" w:color="auto" w:fill="auto"/>
            <w:noWrap/>
            <w:vAlign w:val="center"/>
            <w:hideMark/>
          </w:tcPr>
          <w:p w14:paraId="4789B0A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11.500 </w:t>
            </w:r>
          </w:p>
        </w:tc>
        <w:tc>
          <w:tcPr>
            <w:tcW w:w="1560" w:type="dxa"/>
            <w:tcBorders>
              <w:top w:val="nil"/>
              <w:left w:val="nil"/>
              <w:bottom w:val="single" w:sz="4" w:space="0" w:color="auto"/>
              <w:right w:val="single" w:sz="4" w:space="0" w:color="auto"/>
            </w:tcBorders>
            <w:shd w:val="clear" w:color="auto" w:fill="BFBFBF"/>
            <w:vAlign w:val="center"/>
          </w:tcPr>
          <w:p w14:paraId="084B950C" w14:textId="77777777" w:rsidR="00381CAD" w:rsidRPr="00381CAD" w:rsidRDefault="00381CAD" w:rsidP="00381CAD">
            <w:pPr>
              <w:spacing w:after="0"/>
              <w:jc w:val="right"/>
              <w:rPr>
                <w:rFonts w:eastAsia="Times New Roman" w:cs="Arial"/>
                <w:sz w:val="20"/>
                <w:szCs w:val="20"/>
                <w:highlight w:val="lightGray"/>
                <w:lang w:eastAsia="en-GB"/>
              </w:rPr>
            </w:pPr>
            <w:r w:rsidRPr="00381CAD">
              <w:rPr>
                <w:rFonts w:eastAsia="Times New Roman" w:cs="Arial"/>
                <w:sz w:val="20"/>
                <w:szCs w:val="20"/>
                <w:lang w:eastAsia="en-GB"/>
              </w:rPr>
              <w:t xml:space="preserve">-3.750 </w:t>
            </w:r>
          </w:p>
        </w:tc>
        <w:tc>
          <w:tcPr>
            <w:tcW w:w="1560" w:type="dxa"/>
            <w:tcBorders>
              <w:top w:val="nil"/>
              <w:left w:val="nil"/>
              <w:bottom w:val="single" w:sz="4" w:space="0" w:color="auto"/>
              <w:right w:val="single" w:sz="4" w:space="0" w:color="auto"/>
            </w:tcBorders>
            <w:shd w:val="clear" w:color="auto" w:fill="auto"/>
            <w:noWrap/>
            <w:vAlign w:val="center"/>
            <w:hideMark/>
          </w:tcPr>
          <w:p w14:paraId="56A1A9A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923" w:type="dxa"/>
          </w:tcPr>
          <w:p w14:paraId="12F73428" w14:textId="77777777" w:rsidR="00381CAD" w:rsidRPr="00381CAD" w:rsidRDefault="00381CAD" w:rsidP="00381CAD">
            <w:pPr>
              <w:spacing w:after="0"/>
              <w:rPr>
                <w:rFonts w:ascii="Times New Roman" w:eastAsia="Times New Roman" w:hAnsi="Times New Roman" w:cs="Times New Roman"/>
                <w:sz w:val="20"/>
                <w:szCs w:val="20"/>
                <w:lang w:eastAsia="en-GB"/>
              </w:rPr>
            </w:pPr>
          </w:p>
        </w:tc>
      </w:tr>
      <w:tr w:rsidR="00381CAD" w:rsidRPr="00381CAD" w14:paraId="5B546B55" w14:textId="77777777" w:rsidTr="00CB0FFD">
        <w:trPr>
          <w:trHeight w:val="512"/>
        </w:trPr>
        <w:tc>
          <w:tcPr>
            <w:tcW w:w="2263" w:type="dxa"/>
            <w:tcBorders>
              <w:top w:val="nil"/>
              <w:left w:val="single" w:sz="4" w:space="0" w:color="auto"/>
              <w:bottom w:val="single" w:sz="4" w:space="0" w:color="auto"/>
              <w:right w:val="nil"/>
            </w:tcBorders>
            <w:shd w:val="clear" w:color="auto" w:fill="auto"/>
            <w:noWrap/>
            <w:vAlign w:val="center"/>
            <w:hideMark/>
          </w:tcPr>
          <w:p w14:paraId="6A8B87B4" w14:textId="77777777" w:rsidR="00381CAD" w:rsidRPr="00381CAD" w:rsidRDefault="00381CAD" w:rsidP="00381CAD">
            <w:pPr>
              <w:spacing w:after="0"/>
              <w:rPr>
                <w:rFonts w:eastAsia="Times New Roman" w:cs="Arial"/>
                <w:b/>
                <w:bCs/>
                <w:sz w:val="20"/>
                <w:szCs w:val="20"/>
                <w:lang w:eastAsia="en-GB"/>
              </w:rPr>
            </w:pPr>
            <w:r w:rsidRPr="00381CAD">
              <w:rPr>
                <w:rFonts w:eastAsia="Times New Roman" w:cs="Arial"/>
                <w:b/>
                <w:bCs/>
                <w:sz w:val="20"/>
                <w:szCs w:val="20"/>
                <w:lang w:eastAsia="en-GB"/>
              </w:rPr>
              <w:t>Totals</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5E1FCF4"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222.069 </w:t>
            </w:r>
          </w:p>
        </w:tc>
        <w:tc>
          <w:tcPr>
            <w:tcW w:w="1276" w:type="dxa"/>
            <w:tcBorders>
              <w:top w:val="nil"/>
              <w:left w:val="nil"/>
              <w:bottom w:val="single" w:sz="4" w:space="0" w:color="auto"/>
              <w:right w:val="single" w:sz="4" w:space="0" w:color="auto"/>
            </w:tcBorders>
            <w:shd w:val="clear" w:color="auto" w:fill="auto"/>
            <w:noWrap/>
            <w:vAlign w:val="bottom"/>
            <w:hideMark/>
          </w:tcPr>
          <w:p w14:paraId="49B1DA15"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77.764 </w:t>
            </w:r>
          </w:p>
        </w:tc>
        <w:tc>
          <w:tcPr>
            <w:tcW w:w="1275" w:type="dxa"/>
            <w:tcBorders>
              <w:top w:val="nil"/>
              <w:left w:val="nil"/>
              <w:bottom w:val="single" w:sz="4" w:space="0" w:color="auto"/>
              <w:right w:val="single" w:sz="4" w:space="0" w:color="auto"/>
            </w:tcBorders>
            <w:shd w:val="clear" w:color="auto" w:fill="auto"/>
            <w:noWrap/>
            <w:vAlign w:val="bottom"/>
            <w:hideMark/>
          </w:tcPr>
          <w:p w14:paraId="47082F5F"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172.135 </w:t>
            </w:r>
          </w:p>
        </w:tc>
        <w:tc>
          <w:tcPr>
            <w:tcW w:w="1560" w:type="dxa"/>
            <w:tcBorders>
              <w:top w:val="nil"/>
              <w:left w:val="nil"/>
              <w:bottom w:val="single" w:sz="4" w:space="0" w:color="auto"/>
              <w:right w:val="single" w:sz="4" w:space="0" w:color="auto"/>
            </w:tcBorders>
            <w:shd w:val="clear" w:color="auto" w:fill="BFBFBF"/>
            <w:vAlign w:val="bottom"/>
          </w:tcPr>
          <w:p w14:paraId="200E1DE4" w14:textId="77777777" w:rsidR="00381CAD" w:rsidRPr="00381CAD" w:rsidRDefault="00381CAD" w:rsidP="00381CAD">
            <w:pPr>
              <w:spacing w:after="0"/>
              <w:jc w:val="right"/>
              <w:rPr>
                <w:rFonts w:eastAsia="Times New Roman" w:cs="Arial"/>
                <w:b/>
                <w:bCs/>
                <w:sz w:val="20"/>
                <w:szCs w:val="20"/>
                <w:highlight w:val="lightGray"/>
                <w:lang w:eastAsia="en-GB"/>
              </w:rPr>
            </w:pPr>
            <w:r w:rsidRPr="00381CAD">
              <w:rPr>
                <w:rFonts w:eastAsia="Times New Roman" w:cs="Arial"/>
                <w:b/>
                <w:bCs/>
                <w:sz w:val="20"/>
                <w:szCs w:val="20"/>
                <w:lang w:eastAsia="en-GB"/>
              </w:rPr>
              <w:t xml:space="preserve">-49.934 </w:t>
            </w:r>
          </w:p>
        </w:tc>
        <w:tc>
          <w:tcPr>
            <w:tcW w:w="1560" w:type="dxa"/>
            <w:tcBorders>
              <w:top w:val="nil"/>
              <w:left w:val="nil"/>
              <w:bottom w:val="single" w:sz="4" w:space="0" w:color="auto"/>
              <w:right w:val="single" w:sz="4" w:space="0" w:color="auto"/>
            </w:tcBorders>
            <w:shd w:val="clear" w:color="auto" w:fill="auto"/>
            <w:noWrap/>
            <w:vAlign w:val="bottom"/>
            <w:hideMark/>
          </w:tcPr>
          <w:p w14:paraId="589D6727"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-24.938 </w:t>
            </w:r>
          </w:p>
        </w:tc>
        <w:tc>
          <w:tcPr>
            <w:tcW w:w="1923" w:type="dxa"/>
          </w:tcPr>
          <w:p w14:paraId="298B2D45" w14:textId="77777777" w:rsidR="00381CAD" w:rsidRPr="00381CAD" w:rsidRDefault="00381CAD" w:rsidP="00381CAD">
            <w:pPr>
              <w:spacing w:after="0"/>
              <w:rPr>
                <w:rFonts w:ascii="Times New Roman" w:eastAsia="Times New Roman" w:hAnsi="Times New Roman" w:cs="Times New Roman"/>
                <w:sz w:val="20"/>
                <w:szCs w:val="20"/>
                <w:lang w:eastAsia="en-GB"/>
              </w:rPr>
            </w:pPr>
          </w:p>
        </w:tc>
      </w:tr>
    </w:tbl>
    <w:p w14:paraId="50A68FB8" w14:textId="77777777" w:rsidR="00381CAD" w:rsidRPr="00381CAD" w:rsidRDefault="00381CAD" w:rsidP="00821D17">
      <w:pPr>
        <w:tabs>
          <w:tab w:val="left" w:pos="1048"/>
        </w:tabs>
        <w:spacing w:after="0"/>
      </w:pPr>
    </w:p>
    <w:p w14:paraId="20E458A4" w14:textId="77777777" w:rsidR="00381CAD" w:rsidRPr="00381CAD" w:rsidRDefault="00381CAD" w:rsidP="00821D17">
      <w:pPr>
        <w:spacing w:after="0"/>
        <w:rPr>
          <w:rFonts w:cs="Arial"/>
        </w:rPr>
      </w:pPr>
      <w:r w:rsidRPr="00381CAD">
        <w:rPr>
          <w:rFonts w:cs="Arial"/>
        </w:rPr>
        <w:t xml:space="preserve">The total forecast </w:t>
      </w:r>
      <w:proofErr w:type="gramStart"/>
      <w:r w:rsidRPr="00381CAD">
        <w:rPr>
          <w:rFonts w:cs="Arial"/>
        </w:rPr>
        <w:t>spend</w:t>
      </w:r>
      <w:proofErr w:type="gramEnd"/>
      <w:r w:rsidRPr="00381CAD">
        <w:rPr>
          <w:rFonts w:cs="Arial"/>
        </w:rPr>
        <w:t xml:space="preserve"> for 2022/23 is £172.135m and funded from a combination of Borrowing (£62.446m), Grants (£107.670m) and Developer and 3rd Party Contributions (£2.019m). </w:t>
      </w:r>
    </w:p>
    <w:p w14:paraId="147DFE8F" w14:textId="77777777" w:rsidR="00381CAD" w:rsidRPr="00381CAD" w:rsidRDefault="00381CAD" w:rsidP="00381CAD">
      <w:pPr>
        <w:spacing w:after="0"/>
        <w:rPr>
          <w:rFonts w:cs="Arial"/>
        </w:rPr>
      </w:pPr>
    </w:p>
    <w:p w14:paraId="409B5F09" w14:textId="77777777" w:rsidR="00381CAD" w:rsidRPr="00381CAD" w:rsidRDefault="00381CAD" w:rsidP="00381CAD">
      <w:pPr>
        <w:spacing w:after="0"/>
        <w:rPr>
          <w:rFonts w:cs="Arial"/>
        </w:rPr>
      </w:pPr>
      <w:r w:rsidRPr="00381CAD">
        <w:rPr>
          <w:rFonts w:cs="Arial"/>
        </w:rPr>
        <w:t>Key items included within the variances are:</w:t>
      </w:r>
    </w:p>
    <w:p w14:paraId="2399A0C2" w14:textId="77777777" w:rsidR="00381CAD" w:rsidRPr="00381CAD" w:rsidRDefault="00381CAD" w:rsidP="00381CAD">
      <w:pPr>
        <w:spacing w:after="0"/>
        <w:rPr>
          <w:rFonts w:cs="Arial"/>
        </w:rPr>
      </w:pPr>
    </w:p>
    <w:p w14:paraId="57B8E6B3" w14:textId="77777777" w:rsidR="00381CAD" w:rsidRPr="00381CAD" w:rsidRDefault="00381CAD" w:rsidP="00381CAD">
      <w:pPr>
        <w:numPr>
          <w:ilvl w:val="0"/>
          <w:numId w:val="6"/>
        </w:numPr>
        <w:autoSpaceDE/>
        <w:autoSpaceDN/>
        <w:adjustRightInd/>
        <w:spacing w:after="0" w:line="259" w:lineRule="auto"/>
        <w:contextualSpacing/>
        <w:jc w:val="left"/>
        <w:rPr>
          <w:rFonts w:cs="Arial"/>
        </w:rPr>
      </w:pPr>
      <w:r w:rsidRPr="00381CAD">
        <w:rPr>
          <w:rFonts w:cs="Arial"/>
          <w:bCs/>
        </w:rPr>
        <w:t xml:space="preserve">Slipped delivery in the </w:t>
      </w:r>
      <w:proofErr w:type="gramStart"/>
      <w:r w:rsidRPr="00381CAD">
        <w:rPr>
          <w:rFonts w:cs="Arial"/>
          <w:bCs/>
        </w:rPr>
        <w:t>3 year</w:t>
      </w:r>
      <w:proofErr w:type="gramEnd"/>
      <w:r w:rsidRPr="00381CAD">
        <w:rPr>
          <w:rFonts w:cs="Arial"/>
          <w:bCs/>
        </w:rPr>
        <w:t xml:space="preserve"> rolling program of operational buildings repairs and maintenance </w:t>
      </w:r>
    </w:p>
    <w:p w14:paraId="6B775204" w14:textId="77777777" w:rsidR="00381CAD" w:rsidRPr="00381CAD" w:rsidRDefault="00381CAD" w:rsidP="00381CAD">
      <w:pPr>
        <w:spacing w:after="0"/>
        <w:ind w:left="720"/>
        <w:contextualSpacing/>
        <w:rPr>
          <w:rFonts w:cs="Arial"/>
        </w:rPr>
      </w:pPr>
    </w:p>
    <w:p w14:paraId="5B92605B" w14:textId="77777777" w:rsidR="00381CAD" w:rsidRPr="00381CAD" w:rsidRDefault="00381CAD" w:rsidP="00381CAD">
      <w:pPr>
        <w:numPr>
          <w:ilvl w:val="0"/>
          <w:numId w:val="6"/>
        </w:numPr>
        <w:autoSpaceDE/>
        <w:autoSpaceDN/>
        <w:adjustRightInd/>
        <w:spacing w:after="0" w:line="259" w:lineRule="auto"/>
        <w:contextualSpacing/>
        <w:jc w:val="left"/>
        <w:rPr>
          <w:rFonts w:cs="Arial"/>
        </w:rPr>
      </w:pPr>
      <w:r w:rsidRPr="00381CAD">
        <w:rPr>
          <w:rFonts w:cs="Arial"/>
          <w:bCs/>
        </w:rPr>
        <w:t xml:space="preserve">Slipped delivery for work on the </w:t>
      </w:r>
      <w:proofErr w:type="spellStart"/>
      <w:r w:rsidRPr="00381CAD">
        <w:rPr>
          <w:rFonts w:cs="Arial"/>
          <w:bCs/>
        </w:rPr>
        <w:t>Salmesbury</w:t>
      </w:r>
      <w:proofErr w:type="spellEnd"/>
      <w:r w:rsidRPr="00381CAD">
        <w:rPr>
          <w:rFonts w:cs="Arial"/>
          <w:bCs/>
        </w:rPr>
        <w:t xml:space="preserve"> </w:t>
      </w:r>
      <w:proofErr w:type="spellStart"/>
      <w:r w:rsidRPr="00381CAD">
        <w:rPr>
          <w:rFonts w:cs="Arial"/>
          <w:bCs/>
        </w:rPr>
        <w:t>Enterprize</w:t>
      </w:r>
      <w:proofErr w:type="spellEnd"/>
      <w:r w:rsidRPr="00381CAD">
        <w:rPr>
          <w:rFonts w:cs="Arial"/>
          <w:bCs/>
        </w:rPr>
        <w:t xml:space="preserve"> Zone</w:t>
      </w:r>
    </w:p>
    <w:p w14:paraId="19877B79" w14:textId="77777777" w:rsidR="00381CAD" w:rsidRPr="00381CAD" w:rsidRDefault="00381CAD" w:rsidP="00381CAD">
      <w:pPr>
        <w:spacing w:after="0"/>
        <w:ind w:left="720"/>
        <w:contextualSpacing/>
        <w:rPr>
          <w:rFonts w:cs="Arial"/>
        </w:rPr>
      </w:pPr>
    </w:p>
    <w:p w14:paraId="7D988075" w14:textId="77777777" w:rsidR="00381CAD" w:rsidRPr="00381CAD" w:rsidRDefault="00381CAD" w:rsidP="00381CAD">
      <w:pPr>
        <w:numPr>
          <w:ilvl w:val="0"/>
          <w:numId w:val="6"/>
        </w:numPr>
        <w:autoSpaceDE/>
        <w:autoSpaceDN/>
        <w:adjustRightInd/>
        <w:spacing w:after="0" w:line="259" w:lineRule="auto"/>
        <w:contextualSpacing/>
        <w:jc w:val="left"/>
        <w:rPr>
          <w:rFonts w:cs="Arial"/>
        </w:rPr>
      </w:pPr>
      <w:r w:rsidRPr="00381CAD">
        <w:rPr>
          <w:rFonts w:cs="Arial"/>
          <w:bCs/>
        </w:rPr>
        <w:lastRenderedPageBreak/>
        <w:t xml:space="preserve">Additional delivery in year on the replacement of </w:t>
      </w:r>
      <w:proofErr w:type="spellStart"/>
      <w:r w:rsidRPr="00381CAD">
        <w:rPr>
          <w:rFonts w:cs="Arial"/>
          <w:bCs/>
        </w:rPr>
        <w:t>Bowgreave</w:t>
      </w:r>
      <w:proofErr w:type="spellEnd"/>
      <w:r w:rsidRPr="00381CAD">
        <w:rPr>
          <w:rFonts w:cs="Arial"/>
          <w:bCs/>
        </w:rPr>
        <w:t xml:space="preserve"> Rise residential home.</w:t>
      </w:r>
    </w:p>
    <w:p w14:paraId="5E850ED9" w14:textId="77777777" w:rsidR="00381CAD" w:rsidRPr="00381CAD" w:rsidRDefault="00381CAD" w:rsidP="00381CAD">
      <w:pPr>
        <w:spacing w:after="0"/>
        <w:rPr>
          <w:rFonts w:cs="Arial"/>
        </w:rPr>
      </w:pPr>
    </w:p>
    <w:p w14:paraId="31978EE6" w14:textId="77777777" w:rsidR="00381CAD" w:rsidRPr="00381CAD" w:rsidRDefault="00381CAD" w:rsidP="00381CAD">
      <w:pPr>
        <w:spacing w:after="0"/>
        <w:rPr>
          <w:rFonts w:cs="Arial"/>
        </w:rPr>
      </w:pPr>
      <w:r w:rsidRPr="00381CAD">
        <w:rPr>
          <w:rFonts w:cs="Arial"/>
        </w:rPr>
        <w:t xml:space="preserve">A more detailed narrative on the key items making up the variances by block can be found in the section 4 of the report. </w:t>
      </w:r>
    </w:p>
    <w:p w14:paraId="1E51CEE5" w14:textId="77777777" w:rsidR="00381CAD" w:rsidRPr="00381CAD" w:rsidRDefault="00381CAD" w:rsidP="00381CAD">
      <w:pPr>
        <w:rPr>
          <w:rFonts w:cs="Arial"/>
        </w:rPr>
      </w:pPr>
    </w:p>
    <w:p w14:paraId="437AE9A7" w14:textId="77777777" w:rsidR="00381CAD" w:rsidRPr="00381CAD" w:rsidRDefault="00381CAD" w:rsidP="00381CAD">
      <w:pPr>
        <w:rPr>
          <w:rFonts w:cs="Arial"/>
          <w:b/>
        </w:rPr>
      </w:pPr>
      <w:r w:rsidRPr="00381CAD">
        <w:rPr>
          <w:rFonts w:cs="Arial"/>
          <w:b/>
        </w:rPr>
        <w:t>Table 3 – Analysis of Forecast Variance</w:t>
      </w:r>
    </w:p>
    <w:p w14:paraId="5D6289ED" w14:textId="77777777" w:rsidR="00381CAD" w:rsidRPr="00381CAD" w:rsidRDefault="00381CAD" w:rsidP="00381CAD">
      <w:pPr>
        <w:spacing w:after="0"/>
      </w:pPr>
    </w:p>
    <w:tbl>
      <w:tblPr>
        <w:tblW w:w="9378" w:type="dxa"/>
        <w:tblLook w:val="04A0" w:firstRow="1" w:lastRow="0" w:firstColumn="1" w:lastColumn="0" w:noHBand="0" w:noVBand="1"/>
      </w:tblPr>
      <w:tblGrid>
        <w:gridCol w:w="2906"/>
        <w:gridCol w:w="1225"/>
        <w:gridCol w:w="1495"/>
        <w:gridCol w:w="1373"/>
        <w:gridCol w:w="1296"/>
        <w:gridCol w:w="1296"/>
      </w:tblGrid>
      <w:tr w:rsidR="00381CAD" w:rsidRPr="00381CAD" w14:paraId="4D2169BC" w14:textId="77777777" w:rsidTr="00CB0FFD">
        <w:trPr>
          <w:trHeight w:val="1966"/>
        </w:trPr>
        <w:tc>
          <w:tcPr>
            <w:tcW w:w="29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8523645" w14:textId="77777777" w:rsidR="00381CAD" w:rsidRPr="00381CAD" w:rsidRDefault="00381CAD" w:rsidP="00381CAD">
            <w:pPr>
              <w:jc w:val="center"/>
              <w:rPr>
                <w:rFonts w:eastAsia="Times New Roman" w:cs="Arial"/>
                <w:b/>
                <w:bCs/>
                <w:sz w:val="20"/>
                <w:szCs w:val="20"/>
                <w:lang w:eastAsia="en-GB"/>
              </w:rPr>
            </w:pPr>
            <w:r w:rsidRPr="00381CAD">
              <w:rPr>
                <w:rFonts w:eastAsia="Times New Roman" w:cs="Arial"/>
                <w:b/>
                <w:bCs/>
                <w:sz w:val="20"/>
                <w:szCs w:val="20"/>
                <w:lang w:eastAsia="en-GB"/>
              </w:rPr>
              <w:t>Service Area</w:t>
            </w:r>
          </w:p>
        </w:tc>
        <w:tc>
          <w:tcPr>
            <w:tcW w:w="1225" w:type="dxa"/>
            <w:tcBorders>
              <w:top w:val="single" w:sz="4" w:space="0" w:color="auto"/>
              <w:left w:val="nil"/>
              <w:bottom w:val="single" w:sz="4" w:space="0" w:color="auto"/>
              <w:right w:val="single" w:sz="4" w:space="0" w:color="auto"/>
            </w:tcBorders>
            <w:shd w:val="clear" w:color="000000" w:fill="D9D9D9"/>
            <w:vAlign w:val="center"/>
            <w:hideMark/>
          </w:tcPr>
          <w:p w14:paraId="74F8C17E"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 xml:space="preserve">Forecast Variance as at Sept 22 </w:t>
            </w:r>
          </w:p>
        </w:tc>
        <w:tc>
          <w:tcPr>
            <w:tcW w:w="1384" w:type="dxa"/>
            <w:tcBorders>
              <w:top w:val="single" w:sz="4" w:space="0" w:color="auto"/>
              <w:left w:val="nil"/>
              <w:bottom w:val="single" w:sz="4" w:space="0" w:color="auto"/>
              <w:right w:val="single" w:sz="4" w:space="0" w:color="auto"/>
            </w:tcBorders>
            <w:shd w:val="clear" w:color="000000" w:fill="D9D9D9"/>
            <w:vAlign w:val="center"/>
            <w:hideMark/>
          </w:tcPr>
          <w:p w14:paraId="0623E31B"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Underspends and potential underspends</w:t>
            </w:r>
          </w:p>
        </w:tc>
        <w:tc>
          <w:tcPr>
            <w:tcW w:w="1271" w:type="dxa"/>
            <w:tcBorders>
              <w:top w:val="single" w:sz="4" w:space="0" w:color="auto"/>
              <w:left w:val="nil"/>
              <w:bottom w:val="single" w:sz="4" w:space="0" w:color="auto"/>
              <w:right w:val="single" w:sz="4" w:space="0" w:color="auto"/>
            </w:tcBorders>
            <w:shd w:val="clear" w:color="000000" w:fill="D9D9D9"/>
            <w:vAlign w:val="center"/>
            <w:hideMark/>
          </w:tcPr>
          <w:p w14:paraId="29CC3EAE"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 xml:space="preserve">Overspends and potential overspends </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1B8D51B6"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Slipped Delivery</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178464F3"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Additional delivery</w:t>
            </w:r>
          </w:p>
        </w:tc>
      </w:tr>
      <w:tr w:rsidR="00381CAD" w:rsidRPr="00381CAD" w14:paraId="69BEAA56" w14:textId="77777777" w:rsidTr="00CB0FFD">
        <w:trPr>
          <w:trHeight w:val="321"/>
        </w:trPr>
        <w:tc>
          <w:tcPr>
            <w:tcW w:w="2906" w:type="dxa"/>
            <w:vMerge/>
            <w:tcBorders>
              <w:top w:val="single" w:sz="4" w:space="0" w:color="auto"/>
              <w:left w:val="single" w:sz="4" w:space="0" w:color="auto"/>
              <w:bottom w:val="single" w:sz="4" w:space="0" w:color="auto"/>
              <w:right w:val="single" w:sz="4" w:space="0" w:color="auto"/>
            </w:tcBorders>
            <w:vAlign w:val="center"/>
            <w:hideMark/>
          </w:tcPr>
          <w:p w14:paraId="15E238A0" w14:textId="77777777" w:rsidR="00381CAD" w:rsidRPr="00381CAD" w:rsidRDefault="00381CAD" w:rsidP="00381CAD">
            <w:pPr>
              <w:spacing w:after="0"/>
              <w:rPr>
                <w:rFonts w:eastAsia="Times New Roman" w:cs="Arial"/>
                <w:b/>
                <w:bCs/>
                <w:sz w:val="20"/>
                <w:szCs w:val="20"/>
                <w:lang w:eastAsia="en-GB"/>
              </w:rPr>
            </w:pPr>
          </w:p>
        </w:tc>
        <w:tc>
          <w:tcPr>
            <w:tcW w:w="1225" w:type="dxa"/>
            <w:tcBorders>
              <w:top w:val="nil"/>
              <w:left w:val="nil"/>
              <w:bottom w:val="single" w:sz="4" w:space="0" w:color="auto"/>
              <w:right w:val="single" w:sz="4" w:space="0" w:color="auto"/>
            </w:tcBorders>
            <w:shd w:val="clear" w:color="000000" w:fill="D9D9D9"/>
            <w:noWrap/>
            <w:vAlign w:val="center"/>
            <w:hideMark/>
          </w:tcPr>
          <w:p w14:paraId="22A3181C"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384" w:type="dxa"/>
            <w:tcBorders>
              <w:top w:val="nil"/>
              <w:left w:val="nil"/>
              <w:bottom w:val="single" w:sz="4" w:space="0" w:color="auto"/>
              <w:right w:val="single" w:sz="4" w:space="0" w:color="auto"/>
            </w:tcBorders>
            <w:shd w:val="clear" w:color="000000" w:fill="D9D9D9"/>
            <w:noWrap/>
            <w:vAlign w:val="center"/>
            <w:hideMark/>
          </w:tcPr>
          <w:p w14:paraId="65E0B6AC"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271" w:type="dxa"/>
            <w:tcBorders>
              <w:top w:val="nil"/>
              <w:left w:val="nil"/>
              <w:bottom w:val="single" w:sz="4" w:space="0" w:color="auto"/>
              <w:right w:val="single" w:sz="4" w:space="0" w:color="auto"/>
            </w:tcBorders>
            <w:shd w:val="clear" w:color="000000" w:fill="D9D9D9"/>
            <w:noWrap/>
            <w:vAlign w:val="center"/>
            <w:hideMark/>
          </w:tcPr>
          <w:p w14:paraId="78CCCFC7"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644C09B0"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541CA3A4" w14:textId="77777777" w:rsidR="00381CAD" w:rsidRPr="00381CAD" w:rsidRDefault="00381CAD" w:rsidP="00381CAD">
            <w:pPr>
              <w:spacing w:after="0"/>
              <w:jc w:val="center"/>
              <w:rPr>
                <w:rFonts w:eastAsia="Times New Roman" w:cs="Arial"/>
                <w:b/>
                <w:bCs/>
                <w:sz w:val="20"/>
                <w:szCs w:val="20"/>
                <w:lang w:eastAsia="en-GB"/>
              </w:rPr>
            </w:pPr>
            <w:r w:rsidRPr="00381CAD">
              <w:rPr>
                <w:rFonts w:eastAsia="Times New Roman" w:cs="Arial"/>
                <w:b/>
                <w:bCs/>
                <w:sz w:val="20"/>
                <w:szCs w:val="20"/>
                <w:lang w:eastAsia="en-GB"/>
              </w:rPr>
              <w:t>£m</w:t>
            </w:r>
          </w:p>
        </w:tc>
      </w:tr>
      <w:tr w:rsidR="00381CAD" w:rsidRPr="00381CAD" w14:paraId="5DA9EBFA"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52998453"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Schools (</w:t>
            </w:r>
            <w:proofErr w:type="spellStart"/>
            <w:r w:rsidRPr="00381CAD">
              <w:rPr>
                <w:rFonts w:eastAsia="Times New Roman" w:cs="Arial"/>
                <w:sz w:val="20"/>
                <w:szCs w:val="20"/>
                <w:lang w:eastAsia="en-GB"/>
              </w:rPr>
              <w:t>exc</w:t>
            </w:r>
            <w:proofErr w:type="spellEnd"/>
            <w:r w:rsidRPr="00381CAD">
              <w:rPr>
                <w:rFonts w:eastAsia="Times New Roman" w:cs="Arial"/>
                <w:sz w:val="20"/>
                <w:szCs w:val="20"/>
                <w:lang w:eastAsia="en-GB"/>
              </w:rPr>
              <w:t xml:space="preserve"> DFC)</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6676513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-0.233 </w:t>
            </w:r>
          </w:p>
        </w:tc>
        <w:tc>
          <w:tcPr>
            <w:tcW w:w="1384" w:type="dxa"/>
            <w:tcBorders>
              <w:top w:val="nil"/>
              <w:left w:val="nil"/>
              <w:bottom w:val="single" w:sz="4" w:space="0" w:color="auto"/>
              <w:right w:val="single" w:sz="4" w:space="0" w:color="auto"/>
            </w:tcBorders>
            <w:shd w:val="clear" w:color="auto" w:fill="auto"/>
            <w:noWrap/>
            <w:vAlign w:val="bottom"/>
            <w:hideMark/>
          </w:tcPr>
          <w:p w14:paraId="6417C9B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-0.155 </w:t>
            </w:r>
          </w:p>
        </w:tc>
        <w:tc>
          <w:tcPr>
            <w:tcW w:w="1271" w:type="dxa"/>
            <w:tcBorders>
              <w:top w:val="nil"/>
              <w:left w:val="nil"/>
              <w:bottom w:val="single" w:sz="4" w:space="0" w:color="auto"/>
              <w:right w:val="single" w:sz="4" w:space="0" w:color="auto"/>
            </w:tcBorders>
            <w:shd w:val="clear" w:color="auto" w:fill="auto"/>
            <w:noWrap/>
            <w:vAlign w:val="bottom"/>
            <w:hideMark/>
          </w:tcPr>
          <w:p w14:paraId="7FA20D3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06E165A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-1.289 </w:t>
            </w:r>
          </w:p>
        </w:tc>
        <w:tc>
          <w:tcPr>
            <w:tcW w:w="1296" w:type="dxa"/>
            <w:tcBorders>
              <w:top w:val="nil"/>
              <w:left w:val="nil"/>
              <w:bottom w:val="single" w:sz="4" w:space="0" w:color="auto"/>
              <w:right w:val="single" w:sz="4" w:space="0" w:color="auto"/>
            </w:tcBorders>
            <w:shd w:val="clear" w:color="auto" w:fill="auto"/>
            <w:noWrap/>
            <w:vAlign w:val="bottom"/>
            <w:hideMark/>
          </w:tcPr>
          <w:p w14:paraId="100652F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1.211 </w:t>
            </w:r>
          </w:p>
        </w:tc>
      </w:tr>
      <w:tr w:rsidR="00381CAD" w:rsidRPr="00381CAD" w14:paraId="4178B12D"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5ACEC7A3"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Schools DFC</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49CD8EA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384" w:type="dxa"/>
            <w:tcBorders>
              <w:top w:val="nil"/>
              <w:left w:val="nil"/>
              <w:bottom w:val="single" w:sz="4" w:space="0" w:color="auto"/>
              <w:right w:val="single" w:sz="4" w:space="0" w:color="auto"/>
            </w:tcBorders>
            <w:shd w:val="clear" w:color="auto" w:fill="auto"/>
            <w:noWrap/>
            <w:vAlign w:val="bottom"/>
            <w:hideMark/>
          </w:tcPr>
          <w:p w14:paraId="6DE79A9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6921F2C9"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566BECB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05665287"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42273326"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4E31E4A9"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Highways</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6B1E150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2.313 </w:t>
            </w:r>
          </w:p>
        </w:tc>
        <w:tc>
          <w:tcPr>
            <w:tcW w:w="1384" w:type="dxa"/>
            <w:tcBorders>
              <w:top w:val="nil"/>
              <w:left w:val="nil"/>
              <w:bottom w:val="single" w:sz="4" w:space="0" w:color="auto"/>
              <w:right w:val="single" w:sz="4" w:space="0" w:color="auto"/>
            </w:tcBorders>
            <w:shd w:val="clear" w:color="auto" w:fill="auto"/>
            <w:noWrap/>
            <w:vAlign w:val="bottom"/>
            <w:hideMark/>
          </w:tcPr>
          <w:p w14:paraId="7C190A5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67AE0444"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2.313 </w:t>
            </w:r>
          </w:p>
        </w:tc>
        <w:tc>
          <w:tcPr>
            <w:tcW w:w="1296" w:type="dxa"/>
            <w:tcBorders>
              <w:top w:val="nil"/>
              <w:left w:val="nil"/>
              <w:bottom w:val="single" w:sz="4" w:space="0" w:color="auto"/>
              <w:right w:val="single" w:sz="4" w:space="0" w:color="auto"/>
            </w:tcBorders>
            <w:shd w:val="clear" w:color="auto" w:fill="auto"/>
            <w:noWrap/>
            <w:vAlign w:val="bottom"/>
            <w:hideMark/>
          </w:tcPr>
          <w:p w14:paraId="19E6971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3E4041C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724479D9"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74E20ED2"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Transport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1F5F7C36"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-5.789 </w:t>
            </w:r>
          </w:p>
        </w:tc>
        <w:tc>
          <w:tcPr>
            <w:tcW w:w="1384" w:type="dxa"/>
            <w:tcBorders>
              <w:top w:val="nil"/>
              <w:left w:val="nil"/>
              <w:bottom w:val="single" w:sz="4" w:space="0" w:color="auto"/>
              <w:right w:val="single" w:sz="4" w:space="0" w:color="auto"/>
            </w:tcBorders>
            <w:shd w:val="clear" w:color="auto" w:fill="auto"/>
            <w:noWrap/>
            <w:vAlign w:val="bottom"/>
            <w:hideMark/>
          </w:tcPr>
          <w:p w14:paraId="2D2CE914"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-0.070 </w:t>
            </w:r>
          </w:p>
        </w:tc>
        <w:tc>
          <w:tcPr>
            <w:tcW w:w="1271" w:type="dxa"/>
            <w:tcBorders>
              <w:top w:val="nil"/>
              <w:left w:val="nil"/>
              <w:bottom w:val="single" w:sz="4" w:space="0" w:color="auto"/>
              <w:right w:val="single" w:sz="4" w:space="0" w:color="auto"/>
            </w:tcBorders>
            <w:shd w:val="clear" w:color="auto" w:fill="auto"/>
            <w:noWrap/>
            <w:vAlign w:val="bottom"/>
            <w:hideMark/>
          </w:tcPr>
          <w:p w14:paraId="2EF6665B"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3DC16C7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-5.430 </w:t>
            </w:r>
          </w:p>
        </w:tc>
        <w:tc>
          <w:tcPr>
            <w:tcW w:w="1296" w:type="dxa"/>
            <w:tcBorders>
              <w:top w:val="nil"/>
              <w:left w:val="nil"/>
              <w:bottom w:val="single" w:sz="4" w:space="0" w:color="auto"/>
              <w:right w:val="single" w:sz="4" w:space="0" w:color="auto"/>
            </w:tcBorders>
            <w:shd w:val="clear" w:color="auto" w:fill="auto"/>
            <w:noWrap/>
            <w:vAlign w:val="bottom"/>
            <w:hideMark/>
          </w:tcPr>
          <w:p w14:paraId="406B5FB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-0.289 </w:t>
            </w:r>
          </w:p>
        </w:tc>
      </w:tr>
      <w:tr w:rsidR="00381CAD" w:rsidRPr="00381CAD" w14:paraId="4CAFF3C7"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48036FC5"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Externally Funded</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46E3AEC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-0.552 </w:t>
            </w:r>
          </w:p>
        </w:tc>
        <w:tc>
          <w:tcPr>
            <w:tcW w:w="1384" w:type="dxa"/>
            <w:tcBorders>
              <w:top w:val="nil"/>
              <w:left w:val="nil"/>
              <w:bottom w:val="single" w:sz="4" w:space="0" w:color="auto"/>
              <w:right w:val="single" w:sz="4" w:space="0" w:color="auto"/>
            </w:tcBorders>
            <w:shd w:val="clear" w:color="auto" w:fill="auto"/>
            <w:noWrap/>
            <w:vAlign w:val="bottom"/>
            <w:hideMark/>
          </w:tcPr>
          <w:p w14:paraId="27B617A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-0.270 </w:t>
            </w:r>
          </w:p>
        </w:tc>
        <w:tc>
          <w:tcPr>
            <w:tcW w:w="1271" w:type="dxa"/>
            <w:tcBorders>
              <w:top w:val="nil"/>
              <w:left w:val="nil"/>
              <w:bottom w:val="single" w:sz="4" w:space="0" w:color="auto"/>
              <w:right w:val="single" w:sz="4" w:space="0" w:color="auto"/>
            </w:tcBorders>
            <w:shd w:val="clear" w:color="auto" w:fill="auto"/>
            <w:noWrap/>
            <w:vAlign w:val="bottom"/>
            <w:hideMark/>
          </w:tcPr>
          <w:p w14:paraId="0FB68DC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0.001 </w:t>
            </w:r>
          </w:p>
        </w:tc>
        <w:tc>
          <w:tcPr>
            <w:tcW w:w="1296" w:type="dxa"/>
            <w:tcBorders>
              <w:top w:val="nil"/>
              <w:left w:val="nil"/>
              <w:bottom w:val="single" w:sz="4" w:space="0" w:color="auto"/>
              <w:right w:val="single" w:sz="4" w:space="0" w:color="auto"/>
            </w:tcBorders>
            <w:shd w:val="clear" w:color="auto" w:fill="auto"/>
            <w:noWrap/>
            <w:vAlign w:val="bottom"/>
            <w:hideMark/>
          </w:tcPr>
          <w:p w14:paraId="6969EDE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-0.283 </w:t>
            </w:r>
          </w:p>
        </w:tc>
        <w:tc>
          <w:tcPr>
            <w:tcW w:w="1296" w:type="dxa"/>
            <w:tcBorders>
              <w:top w:val="nil"/>
              <w:left w:val="nil"/>
              <w:bottom w:val="single" w:sz="4" w:space="0" w:color="auto"/>
              <w:right w:val="single" w:sz="4" w:space="0" w:color="auto"/>
            </w:tcBorders>
            <w:shd w:val="clear" w:color="auto" w:fill="auto"/>
            <w:noWrap/>
            <w:vAlign w:val="bottom"/>
            <w:hideMark/>
          </w:tcPr>
          <w:p w14:paraId="1FD86BE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2E49D9E7"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1527ECFE"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Central Systems &amp; ICT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37BB7BA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-0.439 </w:t>
            </w:r>
          </w:p>
        </w:tc>
        <w:tc>
          <w:tcPr>
            <w:tcW w:w="1384" w:type="dxa"/>
            <w:tcBorders>
              <w:top w:val="nil"/>
              <w:left w:val="nil"/>
              <w:bottom w:val="single" w:sz="4" w:space="0" w:color="auto"/>
              <w:right w:val="single" w:sz="4" w:space="0" w:color="auto"/>
            </w:tcBorders>
            <w:shd w:val="clear" w:color="auto" w:fill="auto"/>
            <w:noWrap/>
            <w:vAlign w:val="bottom"/>
            <w:hideMark/>
          </w:tcPr>
          <w:p w14:paraId="2E82A189"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-0.439 </w:t>
            </w:r>
          </w:p>
        </w:tc>
        <w:tc>
          <w:tcPr>
            <w:tcW w:w="1271" w:type="dxa"/>
            <w:tcBorders>
              <w:top w:val="nil"/>
              <w:left w:val="nil"/>
              <w:bottom w:val="single" w:sz="4" w:space="0" w:color="auto"/>
              <w:right w:val="single" w:sz="4" w:space="0" w:color="auto"/>
            </w:tcBorders>
            <w:shd w:val="clear" w:color="auto" w:fill="auto"/>
            <w:noWrap/>
            <w:vAlign w:val="bottom"/>
            <w:hideMark/>
          </w:tcPr>
          <w:p w14:paraId="647BDAA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7E7F7F3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7C3F9526"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35D2FFA7"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62393993"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Adults Social Care</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4862A141"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384" w:type="dxa"/>
            <w:tcBorders>
              <w:top w:val="nil"/>
              <w:left w:val="nil"/>
              <w:bottom w:val="single" w:sz="4" w:space="0" w:color="auto"/>
              <w:right w:val="single" w:sz="4" w:space="0" w:color="auto"/>
            </w:tcBorders>
            <w:shd w:val="clear" w:color="auto" w:fill="auto"/>
            <w:noWrap/>
            <w:vAlign w:val="bottom"/>
            <w:hideMark/>
          </w:tcPr>
          <w:p w14:paraId="0AD1273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14D9177C"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766A89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85F948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2A98E4CE"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7AA66B01"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Corporate - Property</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5D63EE3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-13.055 </w:t>
            </w:r>
          </w:p>
        </w:tc>
        <w:tc>
          <w:tcPr>
            <w:tcW w:w="1384" w:type="dxa"/>
            <w:tcBorders>
              <w:top w:val="nil"/>
              <w:left w:val="nil"/>
              <w:bottom w:val="single" w:sz="4" w:space="0" w:color="auto"/>
              <w:right w:val="single" w:sz="4" w:space="0" w:color="auto"/>
            </w:tcBorders>
            <w:shd w:val="clear" w:color="auto" w:fill="auto"/>
            <w:noWrap/>
            <w:vAlign w:val="bottom"/>
            <w:hideMark/>
          </w:tcPr>
          <w:p w14:paraId="5DB585C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-0.299 </w:t>
            </w:r>
          </w:p>
        </w:tc>
        <w:tc>
          <w:tcPr>
            <w:tcW w:w="1271" w:type="dxa"/>
            <w:tcBorders>
              <w:top w:val="nil"/>
              <w:left w:val="nil"/>
              <w:bottom w:val="single" w:sz="4" w:space="0" w:color="auto"/>
              <w:right w:val="single" w:sz="4" w:space="0" w:color="auto"/>
            </w:tcBorders>
            <w:shd w:val="clear" w:color="auto" w:fill="auto"/>
            <w:noWrap/>
            <w:vAlign w:val="bottom"/>
            <w:hideMark/>
          </w:tcPr>
          <w:p w14:paraId="17D9CAB5"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0.001 </w:t>
            </w:r>
          </w:p>
        </w:tc>
        <w:tc>
          <w:tcPr>
            <w:tcW w:w="1296" w:type="dxa"/>
            <w:tcBorders>
              <w:top w:val="nil"/>
              <w:left w:val="nil"/>
              <w:bottom w:val="single" w:sz="4" w:space="0" w:color="auto"/>
              <w:right w:val="single" w:sz="4" w:space="0" w:color="auto"/>
            </w:tcBorders>
            <w:shd w:val="clear" w:color="auto" w:fill="auto"/>
            <w:noWrap/>
            <w:vAlign w:val="bottom"/>
            <w:hideMark/>
          </w:tcPr>
          <w:p w14:paraId="19424A10"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-15.960 </w:t>
            </w:r>
          </w:p>
        </w:tc>
        <w:tc>
          <w:tcPr>
            <w:tcW w:w="1296" w:type="dxa"/>
            <w:tcBorders>
              <w:top w:val="nil"/>
              <w:left w:val="nil"/>
              <w:bottom w:val="single" w:sz="4" w:space="0" w:color="auto"/>
              <w:right w:val="single" w:sz="4" w:space="0" w:color="auto"/>
            </w:tcBorders>
            <w:shd w:val="clear" w:color="auto" w:fill="auto"/>
            <w:noWrap/>
            <w:vAlign w:val="bottom"/>
            <w:hideMark/>
          </w:tcPr>
          <w:p w14:paraId="1F20062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3.203 </w:t>
            </w:r>
          </w:p>
        </w:tc>
      </w:tr>
      <w:tr w:rsidR="00381CAD" w:rsidRPr="00381CAD" w14:paraId="1C8666BA"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468E761F"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Economic Development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6256617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-28.429 </w:t>
            </w:r>
          </w:p>
        </w:tc>
        <w:tc>
          <w:tcPr>
            <w:tcW w:w="1384" w:type="dxa"/>
            <w:tcBorders>
              <w:top w:val="nil"/>
              <w:left w:val="nil"/>
              <w:bottom w:val="single" w:sz="4" w:space="0" w:color="auto"/>
              <w:right w:val="single" w:sz="4" w:space="0" w:color="auto"/>
            </w:tcBorders>
            <w:shd w:val="clear" w:color="auto" w:fill="auto"/>
            <w:noWrap/>
            <w:vAlign w:val="bottom"/>
            <w:hideMark/>
          </w:tcPr>
          <w:p w14:paraId="26E5389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42B9D5F2"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E5188D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-32.369 </w:t>
            </w:r>
          </w:p>
        </w:tc>
        <w:tc>
          <w:tcPr>
            <w:tcW w:w="1296" w:type="dxa"/>
            <w:tcBorders>
              <w:top w:val="nil"/>
              <w:left w:val="nil"/>
              <w:bottom w:val="single" w:sz="4" w:space="0" w:color="auto"/>
              <w:right w:val="single" w:sz="4" w:space="0" w:color="auto"/>
            </w:tcBorders>
            <w:shd w:val="clear" w:color="auto" w:fill="auto"/>
            <w:noWrap/>
            <w:vAlign w:val="bottom"/>
            <w:hideMark/>
          </w:tcPr>
          <w:p w14:paraId="48FC9253"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3.940 </w:t>
            </w:r>
          </w:p>
        </w:tc>
      </w:tr>
      <w:tr w:rsidR="00381CAD" w:rsidRPr="00381CAD" w14:paraId="25D02963"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6B1FA89D"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South Lancaster Growth Catalyst</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38946DF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384" w:type="dxa"/>
            <w:tcBorders>
              <w:top w:val="nil"/>
              <w:left w:val="nil"/>
              <w:bottom w:val="single" w:sz="4" w:space="0" w:color="auto"/>
              <w:right w:val="single" w:sz="4" w:space="0" w:color="auto"/>
            </w:tcBorders>
            <w:shd w:val="clear" w:color="auto" w:fill="auto"/>
            <w:noWrap/>
            <w:vAlign w:val="bottom"/>
            <w:hideMark/>
          </w:tcPr>
          <w:p w14:paraId="314BA254"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3D9F452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222DFFA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59B592D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78BE2DBC"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3DD09388"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Vehicles</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05B896B6"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384" w:type="dxa"/>
            <w:tcBorders>
              <w:top w:val="nil"/>
              <w:left w:val="nil"/>
              <w:bottom w:val="single" w:sz="4" w:space="0" w:color="auto"/>
              <w:right w:val="single" w:sz="4" w:space="0" w:color="auto"/>
            </w:tcBorders>
            <w:shd w:val="clear" w:color="auto" w:fill="auto"/>
            <w:noWrap/>
            <w:vAlign w:val="bottom"/>
            <w:hideMark/>
          </w:tcPr>
          <w:p w14:paraId="157A707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1539C02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38E5F9A"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67F68E4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13723A17" w14:textId="77777777" w:rsidTr="00CB0FFD">
        <w:trPr>
          <w:trHeight w:val="321"/>
        </w:trPr>
        <w:tc>
          <w:tcPr>
            <w:tcW w:w="2906" w:type="dxa"/>
            <w:tcBorders>
              <w:top w:val="nil"/>
              <w:left w:val="single" w:sz="4" w:space="0" w:color="auto"/>
              <w:bottom w:val="single" w:sz="4" w:space="0" w:color="auto"/>
              <w:right w:val="nil"/>
            </w:tcBorders>
            <w:shd w:val="clear" w:color="auto" w:fill="auto"/>
            <w:noWrap/>
            <w:vAlign w:val="center"/>
            <w:hideMark/>
          </w:tcPr>
          <w:p w14:paraId="32ED789D" w14:textId="77777777" w:rsidR="00381CAD" w:rsidRPr="00381CAD" w:rsidRDefault="00381CAD" w:rsidP="00381CAD">
            <w:pPr>
              <w:spacing w:after="0"/>
              <w:rPr>
                <w:rFonts w:eastAsia="Times New Roman" w:cs="Arial"/>
                <w:sz w:val="20"/>
                <w:szCs w:val="20"/>
                <w:lang w:eastAsia="en-GB"/>
              </w:rPr>
            </w:pPr>
            <w:r w:rsidRPr="00381CAD">
              <w:rPr>
                <w:rFonts w:eastAsia="Times New Roman" w:cs="Arial"/>
                <w:sz w:val="20"/>
                <w:szCs w:val="20"/>
                <w:lang w:eastAsia="en-GB"/>
              </w:rPr>
              <w:t>Transforming Cities</w:t>
            </w:r>
          </w:p>
        </w:tc>
        <w:tc>
          <w:tcPr>
            <w:tcW w:w="1225" w:type="dxa"/>
            <w:tcBorders>
              <w:top w:val="nil"/>
              <w:left w:val="single" w:sz="4" w:space="0" w:color="auto"/>
              <w:bottom w:val="single" w:sz="4" w:space="0" w:color="auto"/>
              <w:right w:val="single" w:sz="4" w:space="0" w:color="auto"/>
            </w:tcBorders>
            <w:shd w:val="clear" w:color="000000" w:fill="D9D9D9"/>
            <w:noWrap/>
            <w:vAlign w:val="bottom"/>
            <w:hideMark/>
          </w:tcPr>
          <w:p w14:paraId="5B38E77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-3.750 </w:t>
            </w:r>
          </w:p>
        </w:tc>
        <w:tc>
          <w:tcPr>
            <w:tcW w:w="1384" w:type="dxa"/>
            <w:tcBorders>
              <w:top w:val="nil"/>
              <w:left w:val="nil"/>
              <w:bottom w:val="single" w:sz="4" w:space="0" w:color="auto"/>
              <w:right w:val="single" w:sz="4" w:space="0" w:color="auto"/>
            </w:tcBorders>
            <w:shd w:val="clear" w:color="auto" w:fill="auto"/>
            <w:noWrap/>
            <w:vAlign w:val="bottom"/>
            <w:hideMark/>
          </w:tcPr>
          <w:p w14:paraId="3115990D"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71" w:type="dxa"/>
            <w:tcBorders>
              <w:top w:val="nil"/>
              <w:left w:val="nil"/>
              <w:bottom w:val="single" w:sz="4" w:space="0" w:color="auto"/>
              <w:right w:val="single" w:sz="4" w:space="0" w:color="auto"/>
            </w:tcBorders>
            <w:shd w:val="clear" w:color="auto" w:fill="auto"/>
            <w:noWrap/>
            <w:vAlign w:val="bottom"/>
            <w:hideMark/>
          </w:tcPr>
          <w:p w14:paraId="249D5E1E"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443068EF"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-3.750 </w:t>
            </w:r>
          </w:p>
        </w:tc>
        <w:tc>
          <w:tcPr>
            <w:tcW w:w="1296" w:type="dxa"/>
            <w:tcBorders>
              <w:top w:val="nil"/>
              <w:left w:val="nil"/>
              <w:bottom w:val="single" w:sz="4" w:space="0" w:color="auto"/>
              <w:right w:val="single" w:sz="4" w:space="0" w:color="auto"/>
            </w:tcBorders>
            <w:shd w:val="clear" w:color="auto" w:fill="auto"/>
            <w:noWrap/>
            <w:vAlign w:val="bottom"/>
            <w:hideMark/>
          </w:tcPr>
          <w:p w14:paraId="10366FF8" w14:textId="77777777" w:rsidR="00381CAD" w:rsidRPr="00381CAD" w:rsidRDefault="00381CAD" w:rsidP="00381CAD">
            <w:pPr>
              <w:spacing w:after="0"/>
              <w:jc w:val="right"/>
              <w:rPr>
                <w:rFonts w:eastAsia="Times New Roman" w:cs="Arial"/>
                <w:sz w:val="20"/>
                <w:szCs w:val="20"/>
                <w:lang w:eastAsia="en-GB"/>
              </w:rPr>
            </w:pPr>
            <w:r w:rsidRPr="00381CAD">
              <w:rPr>
                <w:rFonts w:eastAsia="Times New Roman" w:cs="Arial"/>
                <w:sz w:val="20"/>
                <w:szCs w:val="20"/>
                <w:lang w:eastAsia="en-GB"/>
              </w:rPr>
              <w:t xml:space="preserve">0.000 </w:t>
            </w:r>
          </w:p>
        </w:tc>
      </w:tr>
      <w:tr w:rsidR="00381CAD" w:rsidRPr="00381CAD" w14:paraId="739ED465" w14:textId="77777777" w:rsidTr="00CB0FFD">
        <w:trPr>
          <w:trHeight w:val="321"/>
        </w:trPr>
        <w:tc>
          <w:tcPr>
            <w:tcW w:w="2906" w:type="dxa"/>
            <w:tcBorders>
              <w:top w:val="nil"/>
              <w:left w:val="single" w:sz="4" w:space="0" w:color="auto"/>
              <w:bottom w:val="single" w:sz="4" w:space="0" w:color="auto"/>
              <w:right w:val="single" w:sz="4" w:space="0" w:color="auto"/>
            </w:tcBorders>
            <w:shd w:val="clear" w:color="auto" w:fill="auto"/>
            <w:noWrap/>
            <w:vAlign w:val="center"/>
            <w:hideMark/>
          </w:tcPr>
          <w:p w14:paraId="202B324A" w14:textId="77777777" w:rsidR="00381CAD" w:rsidRPr="00381CAD" w:rsidRDefault="00381CAD" w:rsidP="00381CAD">
            <w:pPr>
              <w:spacing w:after="0"/>
              <w:rPr>
                <w:rFonts w:eastAsia="Times New Roman" w:cs="Arial"/>
                <w:b/>
                <w:bCs/>
                <w:sz w:val="20"/>
                <w:szCs w:val="20"/>
                <w:lang w:eastAsia="en-GB"/>
              </w:rPr>
            </w:pPr>
            <w:r w:rsidRPr="00381CAD">
              <w:rPr>
                <w:rFonts w:eastAsia="Times New Roman" w:cs="Arial"/>
                <w:b/>
                <w:bCs/>
                <w:sz w:val="20"/>
                <w:szCs w:val="20"/>
                <w:lang w:eastAsia="en-GB"/>
              </w:rPr>
              <w:t>Totals</w:t>
            </w:r>
          </w:p>
        </w:tc>
        <w:tc>
          <w:tcPr>
            <w:tcW w:w="1225" w:type="dxa"/>
            <w:tcBorders>
              <w:top w:val="nil"/>
              <w:left w:val="nil"/>
              <w:bottom w:val="single" w:sz="4" w:space="0" w:color="auto"/>
              <w:right w:val="single" w:sz="4" w:space="0" w:color="auto"/>
            </w:tcBorders>
            <w:shd w:val="clear" w:color="000000" w:fill="D9D9D9"/>
            <w:noWrap/>
            <w:vAlign w:val="bottom"/>
            <w:hideMark/>
          </w:tcPr>
          <w:p w14:paraId="3435019F"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-49.934 </w:t>
            </w:r>
          </w:p>
        </w:tc>
        <w:tc>
          <w:tcPr>
            <w:tcW w:w="1384" w:type="dxa"/>
            <w:tcBorders>
              <w:top w:val="nil"/>
              <w:left w:val="nil"/>
              <w:bottom w:val="single" w:sz="4" w:space="0" w:color="auto"/>
              <w:right w:val="single" w:sz="4" w:space="0" w:color="auto"/>
            </w:tcBorders>
            <w:shd w:val="clear" w:color="auto" w:fill="auto"/>
            <w:noWrap/>
            <w:vAlign w:val="bottom"/>
            <w:hideMark/>
          </w:tcPr>
          <w:p w14:paraId="708C0833"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-1.233 </w:t>
            </w:r>
          </w:p>
        </w:tc>
        <w:tc>
          <w:tcPr>
            <w:tcW w:w="1271" w:type="dxa"/>
            <w:tcBorders>
              <w:top w:val="nil"/>
              <w:left w:val="nil"/>
              <w:bottom w:val="single" w:sz="4" w:space="0" w:color="auto"/>
              <w:right w:val="single" w:sz="4" w:space="0" w:color="auto"/>
            </w:tcBorders>
            <w:shd w:val="clear" w:color="auto" w:fill="auto"/>
            <w:noWrap/>
            <w:vAlign w:val="bottom"/>
            <w:hideMark/>
          </w:tcPr>
          <w:p w14:paraId="47238BC1"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2.315 </w:t>
            </w:r>
          </w:p>
        </w:tc>
        <w:tc>
          <w:tcPr>
            <w:tcW w:w="1296" w:type="dxa"/>
            <w:tcBorders>
              <w:top w:val="nil"/>
              <w:left w:val="nil"/>
              <w:bottom w:val="single" w:sz="4" w:space="0" w:color="auto"/>
              <w:right w:val="single" w:sz="4" w:space="0" w:color="auto"/>
            </w:tcBorders>
            <w:shd w:val="clear" w:color="auto" w:fill="auto"/>
            <w:noWrap/>
            <w:vAlign w:val="bottom"/>
            <w:hideMark/>
          </w:tcPr>
          <w:p w14:paraId="39B55570"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-59.081 </w:t>
            </w:r>
          </w:p>
        </w:tc>
        <w:tc>
          <w:tcPr>
            <w:tcW w:w="1296" w:type="dxa"/>
            <w:tcBorders>
              <w:top w:val="nil"/>
              <w:left w:val="nil"/>
              <w:bottom w:val="single" w:sz="4" w:space="0" w:color="auto"/>
              <w:right w:val="single" w:sz="4" w:space="0" w:color="auto"/>
            </w:tcBorders>
            <w:shd w:val="clear" w:color="auto" w:fill="auto"/>
            <w:noWrap/>
            <w:vAlign w:val="bottom"/>
            <w:hideMark/>
          </w:tcPr>
          <w:p w14:paraId="7C9B79DB" w14:textId="77777777" w:rsidR="00381CAD" w:rsidRPr="00381CAD" w:rsidRDefault="00381CAD" w:rsidP="00381CAD">
            <w:pPr>
              <w:spacing w:after="0"/>
              <w:jc w:val="right"/>
              <w:rPr>
                <w:rFonts w:eastAsia="Times New Roman" w:cs="Arial"/>
                <w:b/>
                <w:bCs/>
                <w:sz w:val="20"/>
                <w:szCs w:val="20"/>
                <w:lang w:eastAsia="en-GB"/>
              </w:rPr>
            </w:pPr>
            <w:r w:rsidRPr="00381CAD">
              <w:rPr>
                <w:rFonts w:eastAsia="Times New Roman" w:cs="Arial"/>
                <w:b/>
                <w:bCs/>
                <w:sz w:val="20"/>
                <w:szCs w:val="20"/>
                <w:lang w:eastAsia="en-GB"/>
              </w:rPr>
              <w:t xml:space="preserve">8.065 </w:t>
            </w:r>
          </w:p>
        </w:tc>
      </w:tr>
    </w:tbl>
    <w:p w14:paraId="2F47210D" w14:textId="77777777" w:rsidR="00381CAD" w:rsidRPr="00381CAD" w:rsidRDefault="00381CAD" w:rsidP="00381CAD">
      <w:pPr>
        <w:spacing w:after="0"/>
        <w:rPr>
          <w:rFonts w:cs="Arial"/>
        </w:rPr>
      </w:pPr>
    </w:p>
    <w:p w14:paraId="56CBBB06" w14:textId="77777777" w:rsidR="00381CAD" w:rsidRPr="00381CAD" w:rsidRDefault="00381CAD" w:rsidP="00381CAD">
      <w:pPr>
        <w:spacing w:after="0"/>
        <w:rPr>
          <w:rFonts w:cs="Arial"/>
        </w:rPr>
      </w:pPr>
    </w:p>
    <w:p w14:paraId="60D2C412" w14:textId="77777777" w:rsidR="00381CAD" w:rsidRPr="00381CAD" w:rsidRDefault="00381CAD" w:rsidP="00381CAD">
      <w:pPr>
        <w:spacing w:after="0"/>
        <w:rPr>
          <w:rFonts w:cs="Arial"/>
        </w:rPr>
      </w:pPr>
    </w:p>
    <w:p w14:paraId="10B8E027" w14:textId="77777777" w:rsidR="00381CAD" w:rsidRPr="00381CAD" w:rsidRDefault="00381CAD" w:rsidP="00381CAD">
      <w:pPr>
        <w:spacing w:after="0"/>
        <w:rPr>
          <w:rFonts w:cs="Arial"/>
        </w:rPr>
      </w:pPr>
    </w:p>
    <w:p w14:paraId="1F7BE414" w14:textId="77777777" w:rsidR="00381CAD" w:rsidRPr="00381CAD" w:rsidRDefault="00381CAD" w:rsidP="00381CAD">
      <w:pPr>
        <w:spacing w:after="0"/>
        <w:rPr>
          <w:rFonts w:cs="Arial"/>
        </w:rPr>
      </w:pPr>
    </w:p>
    <w:p w14:paraId="6EE997AC" w14:textId="77777777" w:rsidR="00381CAD" w:rsidRPr="00381CAD" w:rsidRDefault="00381CAD" w:rsidP="00381CAD">
      <w:pPr>
        <w:spacing w:after="0"/>
        <w:rPr>
          <w:rFonts w:cs="Arial"/>
        </w:rPr>
      </w:pPr>
    </w:p>
    <w:p w14:paraId="126C9B79" w14:textId="77777777" w:rsidR="00381CAD" w:rsidRPr="00381CAD" w:rsidRDefault="00381CAD" w:rsidP="00381CAD">
      <w:pPr>
        <w:spacing w:after="0"/>
        <w:rPr>
          <w:rFonts w:cs="Arial"/>
        </w:rPr>
      </w:pPr>
    </w:p>
    <w:p w14:paraId="6B951957" w14:textId="77777777" w:rsidR="00381CAD" w:rsidRPr="00381CAD" w:rsidRDefault="00381CAD" w:rsidP="00381CAD">
      <w:pPr>
        <w:spacing w:after="0"/>
        <w:rPr>
          <w:rFonts w:cs="Arial"/>
        </w:rPr>
      </w:pPr>
    </w:p>
    <w:p w14:paraId="51FA1B23" w14:textId="77777777" w:rsidR="00381CAD" w:rsidRPr="00381CAD" w:rsidRDefault="00381CAD" w:rsidP="00381CAD">
      <w:pPr>
        <w:spacing w:after="0"/>
        <w:rPr>
          <w:rFonts w:cs="Arial"/>
        </w:rPr>
      </w:pPr>
    </w:p>
    <w:p w14:paraId="02EFE35D" w14:textId="77777777" w:rsidR="00381CAD" w:rsidRPr="00381CAD" w:rsidRDefault="00381CAD" w:rsidP="00381CAD">
      <w:pPr>
        <w:spacing w:after="0"/>
        <w:rPr>
          <w:rFonts w:cs="Arial"/>
        </w:rPr>
      </w:pPr>
    </w:p>
    <w:p w14:paraId="47F20B80" w14:textId="77777777" w:rsidR="00381CAD" w:rsidRDefault="00381CAD" w:rsidP="00381CAD">
      <w:pPr>
        <w:spacing w:after="0"/>
        <w:rPr>
          <w:rFonts w:cs="Arial"/>
        </w:rPr>
      </w:pPr>
    </w:p>
    <w:p w14:paraId="1D3BAC41" w14:textId="77777777" w:rsidR="004146E2" w:rsidRDefault="004146E2" w:rsidP="00381CAD">
      <w:pPr>
        <w:spacing w:after="0"/>
        <w:rPr>
          <w:rFonts w:cs="Arial"/>
        </w:rPr>
      </w:pPr>
    </w:p>
    <w:p w14:paraId="33FFF36E" w14:textId="77777777" w:rsidR="004146E2" w:rsidRDefault="004146E2" w:rsidP="00381CAD">
      <w:pPr>
        <w:spacing w:after="0"/>
        <w:rPr>
          <w:rFonts w:cs="Arial"/>
        </w:rPr>
      </w:pPr>
    </w:p>
    <w:p w14:paraId="57C4C7D0" w14:textId="7EC1C366" w:rsidR="004146E2" w:rsidRDefault="004146E2" w:rsidP="00381CAD">
      <w:pPr>
        <w:spacing w:after="0"/>
        <w:rPr>
          <w:rFonts w:cs="Arial"/>
        </w:rPr>
      </w:pPr>
    </w:p>
    <w:p w14:paraId="6A721C5C" w14:textId="36B6DC73" w:rsidR="00821D17" w:rsidRDefault="00821D17" w:rsidP="00381CAD">
      <w:pPr>
        <w:spacing w:after="0"/>
        <w:rPr>
          <w:rFonts w:cs="Arial"/>
        </w:rPr>
      </w:pPr>
    </w:p>
    <w:p w14:paraId="2033F841" w14:textId="04C78C3D" w:rsidR="00821D17" w:rsidRDefault="00821D17" w:rsidP="00381CAD">
      <w:pPr>
        <w:spacing w:after="0"/>
        <w:rPr>
          <w:rFonts w:cs="Arial"/>
        </w:rPr>
      </w:pPr>
    </w:p>
    <w:p w14:paraId="765BC398" w14:textId="77777777" w:rsidR="00821D17" w:rsidRPr="00381CAD" w:rsidRDefault="00821D17" w:rsidP="00381CAD">
      <w:pPr>
        <w:spacing w:after="0"/>
        <w:rPr>
          <w:rFonts w:cs="Arial"/>
        </w:rPr>
      </w:pPr>
    </w:p>
    <w:p w14:paraId="2BB0077E" w14:textId="77777777" w:rsidR="00381CAD" w:rsidRPr="00381CAD" w:rsidRDefault="00381CAD" w:rsidP="00381CAD">
      <w:pPr>
        <w:numPr>
          <w:ilvl w:val="0"/>
          <w:numId w:val="5"/>
        </w:numPr>
        <w:autoSpaceDE/>
        <w:autoSpaceDN/>
        <w:adjustRightInd/>
        <w:spacing w:after="0" w:line="259" w:lineRule="auto"/>
        <w:contextualSpacing/>
        <w:rPr>
          <w:rFonts w:cs="Arial"/>
          <w:b/>
        </w:rPr>
      </w:pPr>
      <w:r w:rsidRPr="00381CAD">
        <w:rPr>
          <w:rFonts w:cs="Arial"/>
          <w:b/>
        </w:rPr>
        <w:lastRenderedPageBreak/>
        <w:t>Detailed Narrative</w:t>
      </w:r>
    </w:p>
    <w:p w14:paraId="1B1C3D06" w14:textId="77777777" w:rsidR="00381CAD" w:rsidRPr="00381CAD" w:rsidRDefault="00381CAD" w:rsidP="00381CAD">
      <w:pPr>
        <w:spacing w:after="0"/>
        <w:ind w:left="360"/>
        <w:contextualSpacing/>
        <w:rPr>
          <w:rFonts w:cs="Arial"/>
          <w:b/>
        </w:rPr>
      </w:pPr>
    </w:p>
    <w:p w14:paraId="255DD743" w14:textId="77777777" w:rsidR="00381CAD" w:rsidRPr="00381CAD" w:rsidRDefault="00381CAD" w:rsidP="00381CAD">
      <w:pPr>
        <w:spacing w:after="0"/>
        <w:rPr>
          <w:rFonts w:cs="Arial"/>
        </w:rPr>
      </w:pPr>
      <w:r w:rsidRPr="00381CAD">
        <w:rPr>
          <w:rFonts w:cs="Arial"/>
        </w:rPr>
        <w:t xml:space="preserve">The forecast variance as </w:t>
      </w:r>
      <w:proofErr w:type="gramStart"/>
      <w:r w:rsidRPr="00381CAD">
        <w:rPr>
          <w:rFonts w:cs="Arial"/>
        </w:rPr>
        <w:t>at</w:t>
      </w:r>
      <w:proofErr w:type="gramEnd"/>
      <w:r w:rsidRPr="00381CAD">
        <w:rPr>
          <w:rFonts w:cs="Arial"/>
        </w:rPr>
        <w:t xml:space="preserve"> September 2022 is -£49.934m. Further information relating to the variances at a block level are detailed below.</w:t>
      </w:r>
    </w:p>
    <w:p w14:paraId="1C17F524" w14:textId="77777777" w:rsidR="00381CAD" w:rsidRPr="00381CAD" w:rsidRDefault="00381CAD" w:rsidP="00381CAD">
      <w:pPr>
        <w:spacing w:after="0"/>
        <w:rPr>
          <w:rFonts w:cs="Arial"/>
          <w:b/>
          <w:highlight w:val="yellow"/>
        </w:rPr>
      </w:pPr>
    </w:p>
    <w:p w14:paraId="5E242AB6" w14:textId="77777777" w:rsidR="00381CAD" w:rsidRPr="00381CAD" w:rsidRDefault="00381CAD" w:rsidP="00381CAD">
      <w:pPr>
        <w:spacing w:after="0"/>
        <w:rPr>
          <w:rFonts w:cs="Arial"/>
          <w:b/>
          <w:bCs/>
        </w:rPr>
      </w:pPr>
      <w:r w:rsidRPr="00381CAD">
        <w:rPr>
          <w:rFonts w:cs="Arial"/>
          <w:b/>
          <w:bCs/>
        </w:rPr>
        <w:t>Schools (including Devolved Formula Capital (DFC))</w:t>
      </w:r>
    </w:p>
    <w:p w14:paraId="2C8770A5" w14:textId="77777777" w:rsidR="00381CAD" w:rsidRPr="00381CAD" w:rsidRDefault="00381CAD" w:rsidP="00381CAD">
      <w:pPr>
        <w:spacing w:after="0"/>
        <w:rPr>
          <w:rFonts w:cs="Arial"/>
          <w:b/>
          <w:bCs/>
        </w:rPr>
      </w:pPr>
    </w:p>
    <w:p w14:paraId="62F92C53" w14:textId="77777777" w:rsidR="00381CAD" w:rsidRPr="00381CAD" w:rsidRDefault="00381CAD" w:rsidP="00381CAD">
      <w:pPr>
        <w:spacing w:after="0"/>
        <w:rPr>
          <w:rFonts w:cs="Arial"/>
          <w:b/>
        </w:rPr>
      </w:pPr>
      <w:r w:rsidRPr="00381CAD">
        <w:rPr>
          <w:rFonts w:cs="Arial"/>
          <w:b/>
        </w:rPr>
        <w:t xml:space="preserve">The </w:t>
      </w:r>
      <w:proofErr w:type="gramStart"/>
      <w:r w:rsidRPr="00381CAD">
        <w:rPr>
          <w:rFonts w:cs="Arial"/>
          <w:b/>
        </w:rPr>
        <w:t>Schools</w:t>
      </w:r>
      <w:proofErr w:type="gramEnd"/>
      <w:r w:rsidRPr="00381CAD">
        <w:rPr>
          <w:rFonts w:cs="Arial"/>
          <w:b/>
        </w:rPr>
        <w:t xml:space="preserve"> capital programme (including DFC) has a 2022/23 delivery plan of £27.110m.</w:t>
      </w:r>
      <w:r w:rsidRPr="00381CAD">
        <w:rPr>
          <w:rFonts w:cs="Arial"/>
          <w:b/>
          <w:color w:val="FF0000"/>
        </w:rPr>
        <w:t xml:space="preserve"> </w:t>
      </w:r>
      <w:r w:rsidRPr="00381CAD">
        <w:rPr>
          <w:rFonts w:cs="Arial"/>
          <w:b/>
        </w:rPr>
        <w:t xml:space="preserve">Forecast outturn as at September 2022 is £26.877m, a variance of -£0.233m. </w:t>
      </w:r>
    </w:p>
    <w:p w14:paraId="0C2669D0" w14:textId="77777777" w:rsidR="00381CAD" w:rsidRPr="00381CAD" w:rsidRDefault="00381CAD" w:rsidP="00381CAD">
      <w:pPr>
        <w:spacing w:after="0"/>
        <w:rPr>
          <w:rFonts w:cs="Arial"/>
          <w:bCs/>
          <w:highlight w:val="yellow"/>
        </w:rPr>
      </w:pPr>
    </w:p>
    <w:p w14:paraId="38B5F521" w14:textId="77777777" w:rsidR="00381CAD" w:rsidRPr="00381CAD" w:rsidRDefault="00381CAD" w:rsidP="00381CAD">
      <w:pPr>
        <w:spacing w:after="0"/>
        <w:rPr>
          <w:rFonts w:cs="Arial"/>
          <w:bCs/>
        </w:rPr>
      </w:pPr>
      <w:r w:rsidRPr="00381CAD">
        <w:rPr>
          <w:rFonts w:cs="Arial"/>
          <w:bCs/>
        </w:rPr>
        <w:t xml:space="preserve">A summary of the programmes within the </w:t>
      </w:r>
      <w:proofErr w:type="gramStart"/>
      <w:r w:rsidRPr="00381CAD">
        <w:rPr>
          <w:rFonts w:cs="Arial"/>
          <w:bCs/>
        </w:rPr>
        <w:t>Schools</w:t>
      </w:r>
      <w:proofErr w:type="gramEnd"/>
      <w:r w:rsidRPr="00381CAD">
        <w:rPr>
          <w:rFonts w:cs="Arial"/>
          <w:bCs/>
        </w:rPr>
        <w:t xml:space="preserve"> block is given below.</w:t>
      </w:r>
    </w:p>
    <w:p w14:paraId="3789BF0B" w14:textId="77777777" w:rsidR="00381CAD" w:rsidRPr="00381CAD" w:rsidRDefault="00381CAD" w:rsidP="00381CAD">
      <w:pPr>
        <w:spacing w:after="0"/>
        <w:rPr>
          <w:rFonts w:cs="Arial"/>
          <w:bCs/>
        </w:rPr>
      </w:pPr>
    </w:p>
    <w:p w14:paraId="3A72CA7C" w14:textId="77777777" w:rsidR="00381CAD" w:rsidRPr="00381CAD" w:rsidRDefault="00381CAD" w:rsidP="00381CAD">
      <w:pPr>
        <w:spacing w:after="0"/>
        <w:rPr>
          <w:rFonts w:cs="Arial"/>
          <w:b/>
          <w:bCs/>
        </w:rPr>
      </w:pPr>
      <w:r w:rsidRPr="00381CAD">
        <w:rPr>
          <w:rFonts w:cs="Arial"/>
          <w:b/>
          <w:bCs/>
        </w:rPr>
        <w:t>Basic Need Programme</w:t>
      </w:r>
    </w:p>
    <w:p w14:paraId="60CEC771" w14:textId="77777777" w:rsidR="00381CAD" w:rsidRPr="00381CAD" w:rsidRDefault="00381CAD" w:rsidP="00381CAD">
      <w:pPr>
        <w:spacing w:after="0"/>
        <w:rPr>
          <w:rFonts w:cs="Arial"/>
        </w:rPr>
      </w:pPr>
      <w:r w:rsidRPr="00381CAD">
        <w:rPr>
          <w:rFonts w:cs="Arial"/>
        </w:rPr>
        <w:t xml:space="preserve">The purpose of the Basic Need programme is to increase school pupil places in targeted areas via grant funded school expansions or new school build projects. </w:t>
      </w:r>
    </w:p>
    <w:p w14:paraId="77C6366E" w14:textId="77777777" w:rsidR="00381CAD" w:rsidRPr="00381CAD" w:rsidRDefault="00381CAD" w:rsidP="00381CAD">
      <w:pPr>
        <w:spacing w:after="0"/>
        <w:rPr>
          <w:rFonts w:cs="Arial"/>
          <w:b/>
          <w:bCs/>
        </w:rPr>
      </w:pPr>
    </w:p>
    <w:p w14:paraId="0A2307E2" w14:textId="77777777" w:rsidR="00381CAD" w:rsidRPr="00381CAD" w:rsidRDefault="00381CAD" w:rsidP="00381CAD">
      <w:pPr>
        <w:spacing w:after="0"/>
        <w:rPr>
          <w:rFonts w:cs="Arial"/>
        </w:rPr>
      </w:pPr>
      <w:r w:rsidRPr="00381CAD">
        <w:rPr>
          <w:rFonts w:cs="Arial"/>
        </w:rPr>
        <w:t xml:space="preserve">A new primary school commissioned to be built at the former Higher </w:t>
      </w:r>
      <w:proofErr w:type="spellStart"/>
      <w:r w:rsidRPr="00381CAD">
        <w:rPr>
          <w:rFonts w:cs="Arial"/>
        </w:rPr>
        <w:t>Standen</w:t>
      </w:r>
      <w:proofErr w:type="spellEnd"/>
      <w:r w:rsidRPr="00381CAD">
        <w:rPr>
          <w:rFonts w:cs="Arial"/>
        </w:rPr>
        <w:t xml:space="preserve"> site in Clitheroe. A programme of work is now confirmed and is to begin on 3 October and expected to finish in summer 2023 for the 2023/24 school year. Following the tender process which has enabled a more accurate profiling of the budget across the two years of delivery we now anticipate £0.263m additional delivery this year than was estimated in June 2022.  The overall scheme remains on budget overall.  Other smaller additional deliver variances are report against </w:t>
      </w:r>
      <w:proofErr w:type="gramStart"/>
      <w:r w:rsidRPr="00381CAD">
        <w:rPr>
          <w:rFonts w:cs="Arial"/>
        </w:rPr>
        <w:t>a number of</w:t>
      </w:r>
      <w:proofErr w:type="gramEnd"/>
      <w:r w:rsidRPr="00381CAD">
        <w:rPr>
          <w:rFonts w:cs="Arial"/>
        </w:rPr>
        <w:t xml:space="preserve"> other projects totalling £0.243m. </w:t>
      </w:r>
    </w:p>
    <w:p w14:paraId="7CF22E8F" w14:textId="77777777" w:rsidR="00381CAD" w:rsidRPr="00381CAD" w:rsidRDefault="00381CAD" w:rsidP="00381CAD">
      <w:pPr>
        <w:spacing w:after="0"/>
        <w:rPr>
          <w:rFonts w:cs="Arial"/>
        </w:rPr>
      </w:pPr>
    </w:p>
    <w:p w14:paraId="71F10C66" w14:textId="77777777" w:rsidR="00381CAD" w:rsidRPr="00381CAD" w:rsidRDefault="00381CAD" w:rsidP="00381CAD">
      <w:pPr>
        <w:spacing w:after="0"/>
        <w:rPr>
          <w:rFonts w:cs="Arial"/>
        </w:rPr>
      </w:pPr>
      <w:r w:rsidRPr="00381CAD">
        <w:rPr>
          <w:rFonts w:cs="Arial"/>
        </w:rPr>
        <w:t xml:space="preserve">The largest delivery risks relate to the projects scheduled to commence construction post Q2, especially over the winter months where inclement weather can hinder progress. School expansion projects at </w:t>
      </w:r>
      <w:proofErr w:type="spellStart"/>
      <w:r w:rsidRPr="00381CAD">
        <w:rPr>
          <w:rFonts w:cs="Arial"/>
        </w:rPr>
        <w:t>Primet</w:t>
      </w:r>
      <w:proofErr w:type="spellEnd"/>
      <w:r w:rsidRPr="00381CAD">
        <w:rPr>
          <w:rFonts w:cs="Arial"/>
        </w:rPr>
        <w:t xml:space="preserve"> Academy in Colne and SS John Fisher and Thomas More high school are new constructions for 2022/23. The </w:t>
      </w:r>
      <w:proofErr w:type="spellStart"/>
      <w:r w:rsidRPr="00381CAD">
        <w:rPr>
          <w:rFonts w:cs="Arial"/>
        </w:rPr>
        <w:t>Primet</w:t>
      </w:r>
      <w:proofErr w:type="spellEnd"/>
      <w:r w:rsidRPr="00381CAD">
        <w:rPr>
          <w:rFonts w:cs="Arial"/>
        </w:rPr>
        <w:t xml:space="preserve"> High expansion is now separated into 2 separate phases of work, with the first phase completed during the summer. The second phase of the project which includes the construction of the new block is due to be tendered and potential completion dates will be confirmed once a detailed construction plan is developed. As such, costs originally planned for 2022/23 have now slipped to 2023/24 causing -£1.071m slipped delivery. Other slipped delivery variances totalling -£0.081m are forecast across </w:t>
      </w:r>
      <w:proofErr w:type="gramStart"/>
      <w:r w:rsidRPr="00381CAD">
        <w:rPr>
          <w:rFonts w:cs="Arial"/>
        </w:rPr>
        <w:t>a number of</w:t>
      </w:r>
      <w:proofErr w:type="gramEnd"/>
      <w:r w:rsidRPr="00381CAD">
        <w:rPr>
          <w:rFonts w:cs="Arial"/>
        </w:rPr>
        <w:t xml:space="preserve"> projects. </w:t>
      </w:r>
    </w:p>
    <w:p w14:paraId="477586FC" w14:textId="77777777" w:rsidR="00381CAD" w:rsidRPr="00381CAD" w:rsidRDefault="00381CAD" w:rsidP="00381CAD">
      <w:pPr>
        <w:spacing w:after="0"/>
        <w:rPr>
          <w:rFonts w:cs="Arial"/>
          <w:highlight w:val="yellow"/>
        </w:rPr>
      </w:pPr>
    </w:p>
    <w:p w14:paraId="02C85AFA" w14:textId="77777777" w:rsidR="00381CAD" w:rsidRPr="00381CAD" w:rsidRDefault="00381CAD" w:rsidP="00381CAD">
      <w:pPr>
        <w:spacing w:after="0"/>
        <w:rPr>
          <w:rFonts w:cs="Arial"/>
        </w:rPr>
      </w:pPr>
      <w:r w:rsidRPr="00381CAD">
        <w:rPr>
          <w:rFonts w:cs="Arial"/>
        </w:rPr>
        <w:t xml:space="preserve">The expansion at Tom Finney high school has continued into 2022/23 and was successfully completed in time for the autumn 2022 term and within budget, with a projected saving of -£0.138m against the delivery plan. The project to provide a special educational needs unit at Ashton Science college was also successfully completed over during the summer as planned and within budget. Savings are also forecast at the Haven of -£0.018m and other smaller savings totalling -£0.017m are forecast across </w:t>
      </w:r>
      <w:proofErr w:type="gramStart"/>
      <w:r w:rsidRPr="00381CAD">
        <w:rPr>
          <w:rFonts w:cs="Arial"/>
        </w:rPr>
        <w:t>a number of</w:t>
      </w:r>
      <w:proofErr w:type="gramEnd"/>
      <w:r w:rsidRPr="00381CAD">
        <w:rPr>
          <w:rFonts w:cs="Arial"/>
        </w:rPr>
        <w:t xml:space="preserve"> closing projects.</w:t>
      </w:r>
    </w:p>
    <w:p w14:paraId="5B56CBBC" w14:textId="77777777" w:rsidR="00381CAD" w:rsidRPr="00381CAD" w:rsidRDefault="00381CAD" w:rsidP="00381CAD">
      <w:pPr>
        <w:spacing w:after="0"/>
        <w:rPr>
          <w:rFonts w:cs="Arial"/>
        </w:rPr>
      </w:pPr>
    </w:p>
    <w:p w14:paraId="2BD2DDDE" w14:textId="77777777" w:rsidR="00381CAD" w:rsidRPr="00381CAD" w:rsidRDefault="00381CAD" w:rsidP="00381CAD">
      <w:pPr>
        <w:spacing w:after="0"/>
        <w:rPr>
          <w:rFonts w:cs="Arial"/>
        </w:rPr>
      </w:pPr>
      <w:r w:rsidRPr="00381CAD">
        <w:rPr>
          <w:rFonts w:cs="Arial"/>
        </w:rPr>
        <w:t xml:space="preserve">Further areas of increased pupil place demand have been identified and recently reported to Cabinet as part of the school planning delivery strategy for 2023 to 2025. These include both primary and secondary place additional pupil places in North and West Preston, </w:t>
      </w:r>
      <w:proofErr w:type="spellStart"/>
      <w:r w:rsidRPr="00381CAD">
        <w:rPr>
          <w:rFonts w:cs="Arial"/>
        </w:rPr>
        <w:t>Goosnargh</w:t>
      </w:r>
      <w:proofErr w:type="spellEnd"/>
      <w:r w:rsidRPr="00381CAD">
        <w:rPr>
          <w:rFonts w:cs="Arial"/>
        </w:rPr>
        <w:t xml:space="preserve"> and </w:t>
      </w:r>
      <w:proofErr w:type="spellStart"/>
      <w:r w:rsidRPr="00381CAD">
        <w:rPr>
          <w:rFonts w:cs="Arial"/>
        </w:rPr>
        <w:t>Grimsargh</w:t>
      </w:r>
      <w:proofErr w:type="spellEnd"/>
      <w:r w:rsidRPr="00381CAD">
        <w:rPr>
          <w:rFonts w:cs="Arial"/>
        </w:rPr>
        <w:t xml:space="preserve">, the Ribble Valley and others. The areas </w:t>
      </w:r>
      <w:r w:rsidRPr="00381CAD">
        <w:rPr>
          <w:rFonts w:cs="Arial"/>
        </w:rPr>
        <w:lastRenderedPageBreak/>
        <w:t xml:space="preserve">where additional places are needed will require a range of building projects and consultations to deliver. As such, in the coming months </w:t>
      </w:r>
      <w:proofErr w:type="gramStart"/>
      <w:r w:rsidRPr="00381CAD">
        <w:rPr>
          <w:rFonts w:cs="Arial"/>
        </w:rPr>
        <w:t>a number of</w:t>
      </w:r>
      <w:proofErr w:type="gramEnd"/>
      <w:r w:rsidRPr="00381CAD">
        <w:rPr>
          <w:rFonts w:cs="Arial"/>
        </w:rPr>
        <w:t xml:space="preserve"> preliminary studies will be undertaken to identify suitable sites ahead of statutory consultation processes.  </w:t>
      </w:r>
    </w:p>
    <w:p w14:paraId="53964DB6" w14:textId="77777777" w:rsidR="00381CAD" w:rsidRPr="00381CAD" w:rsidRDefault="00381CAD" w:rsidP="00381CAD">
      <w:pPr>
        <w:spacing w:after="0"/>
        <w:rPr>
          <w:rFonts w:cs="Arial"/>
          <w:b/>
          <w:bCs/>
        </w:rPr>
      </w:pPr>
    </w:p>
    <w:p w14:paraId="48302492" w14:textId="77777777" w:rsidR="00381CAD" w:rsidRPr="00381CAD" w:rsidRDefault="00381CAD" w:rsidP="00381CAD">
      <w:pPr>
        <w:spacing w:after="0"/>
        <w:rPr>
          <w:rFonts w:cs="Arial"/>
          <w:b/>
          <w:bCs/>
        </w:rPr>
      </w:pPr>
      <w:r w:rsidRPr="00381CAD">
        <w:rPr>
          <w:rFonts w:cs="Arial"/>
          <w:b/>
          <w:bCs/>
        </w:rPr>
        <w:t>Condition Programme</w:t>
      </w:r>
    </w:p>
    <w:p w14:paraId="79F7CCA1" w14:textId="77777777" w:rsidR="00381CAD" w:rsidRPr="00381CAD" w:rsidRDefault="00381CAD" w:rsidP="00381CAD">
      <w:pPr>
        <w:spacing w:after="0"/>
        <w:rPr>
          <w:rFonts w:cs="Arial"/>
        </w:rPr>
      </w:pPr>
      <w:r w:rsidRPr="00381CAD">
        <w:rPr>
          <w:rFonts w:cs="Arial"/>
        </w:rPr>
        <w:t xml:space="preserve">The condition programme delivers a variety of grant funded works to address priority condition issues at school buildings. </w:t>
      </w:r>
    </w:p>
    <w:p w14:paraId="3272234B" w14:textId="77777777" w:rsidR="00381CAD" w:rsidRPr="00381CAD" w:rsidRDefault="00381CAD" w:rsidP="00381CAD">
      <w:pPr>
        <w:spacing w:after="0"/>
        <w:rPr>
          <w:rFonts w:cs="Arial"/>
        </w:rPr>
      </w:pPr>
    </w:p>
    <w:p w14:paraId="5FC0AFD0" w14:textId="77777777" w:rsidR="00381CAD" w:rsidRPr="00381CAD" w:rsidRDefault="00381CAD" w:rsidP="00381CAD">
      <w:pPr>
        <w:spacing w:after="0"/>
        <w:rPr>
          <w:rFonts w:cs="Arial"/>
        </w:rPr>
      </w:pPr>
      <w:r w:rsidRPr="00381CAD">
        <w:rPr>
          <w:rFonts w:cs="Arial"/>
        </w:rPr>
        <w:t xml:space="preserve">Work is planned and then undertaken when the work can be accommodated during periods of school closure at summer/autumn breaks/ spring. Planned delivery is liable to change once contractors are engaged and work timetables agreed or when projects get to </w:t>
      </w:r>
      <w:proofErr w:type="gramStart"/>
      <w:r w:rsidRPr="00381CAD">
        <w:rPr>
          <w:rFonts w:cs="Arial"/>
        </w:rPr>
        <w:t>site</w:t>
      </w:r>
      <w:proofErr w:type="gramEnd"/>
      <w:r w:rsidRPr="00381CAD">
        <w:rPr>
          <w:rFonts w:cs="Arial"/>
        </w:rPr>
        <w:t xml:space="preserve"> and unforeseen issues are exposed. </w:t>
      </w:r>
    </w:p>
    <w:p w14:paraId="7E25A7E9" w14:textId="77777777" w:rsidR="00381CAD" w:rsidRPr="00381CAD" w:rsidRDefault="00381CAD" w:rsidP="00381CAD">
      <w:pPr>
        <w:spacing w:after="0"/>
        <w:rPr>
          <w:rFonts w:cs="Arial"/>
        </w:rPr>
      </w:pPr>
    </w:p>
    <w:p w14:paraId="05A77E53" w14:textId="77777777" w:rsidR="00381CAD" w:rsidRPr="00381CAD" w:rsidRDefault="00381CAD" w:rsidP="00381CAD">
      <w:pPr>
        <w:spacing w:after="0"/>
        <w:rPr>
          <w:rFonts w:cs="Arial"/>
        </w:rPr>
      </w:pPr>
      <w:r w:rsidRPr="00381CAD">
        <w:rPr>
          <w:rFonts w:cs="Arial"/>
        </w:rPr>
        <w:t>There is an additional delivery forecast of £0.711m due to works progressing well over the summer, which included a number of flat roof renewal projects which have been undertaken without delay, such as at West Lancashire high school (£0.264m), Lathom high school (£0.216m) and Ormskirk West End primary school (£0.175m) with further scheduling of works in October and February half terms adding to the additional delivery forecast. Where work is scheduled but contractors are not yet engaged on site remains a risk to forecast delivery, with unanticipated site issues occasioning deferral or delay to works in some cases. If works can't be completed as expected in the autumn break the forecast additional delivery will reduce.</w:t>
      </w:r>
    </w:p>
    <w:p w14:paraId="05A5E031" w14:textId="77777777" w:rsidR="00381CAD" w:rsidRPr="00381CAD" w:rsidRDefault="00381CAD" w:rsidP="00381CAD">
      <w:pPr>
        <w:spacing w:after="0"/>
        <w:rPr>
          <w:rFonts w:cs="Arial"/>
          <w:b/>
          <w:bCs/>
        </w:rPr>
      </w:pPr>
    </w:p>
    <w:p w14:paraId="47966774" w14:textId="77777777" w:rsidR="00381CAD" w:rsidRPr="00381CAD" w:rsidRDefault="00381CAD" w:rsidP="00381CAD">
      <w:pPr>
        <w:spacing w:after="0"/>
        <w:rPr>
          <w:rFonts w:cs="Arial"/>
          <w:b/>
          <w:bCs/>
        </w:rPr>
      </w:pPr>
      <w:r w:rsidRPr="00381CAD">
        <w:rPr>
          <w:rFonts w:cs="Arial"/>
          <w:b/>
          <w:bCs/>
        </w:rPr>
        <w:t>Local Full Fibre Networks</w:t>
      </w:r>
    </w:p>
    <w:p w14:paraId="700BBB0F" w14:textId="77777777" w:rsidR="00381CAD" w:rsidRPr="00381CAD" w:rsidRDefault="00381CAD" w:rsidP="00381CAD">
      <w:pPr>
        <w:spacing w:after="0"/>
        <w:rPr>
          <w:rFonts w:cs="Arial"/>
          <w:bCs/>
        </w:rPr>
      </w:pPr>
      <w:r w:rsidRPr="00381CAD">
        <w:rPr>
          <w:rFonts w:cs="Arial"/>
          <w:bCs/>
        </w:rPr>
        <w:t xml:space="preserve">Funding has been awarded from the Department for Digital, Culture, Media and Sport to a number of schools across the county that were identified as premises that would benefit from the installation of </w:t>
      </w:r>
      <w:proofErr w:type="gramStart"/>
      <w:r w:rsidRPr="00381CAD">
        <w:rPr>
          <w:rFonts w:cs="Arial"/>
          <w:bCs/>
        </w:rPr>
        <w:t>high speed</w:t>
      </w:r>
      <w:proofErr w:type="gramEnd"/>
      <w:r w:rsidRPr="00381CAD">
        <w:rPr>
          <w:rFonts w:cs="Arial"/>
          <w:bCs/>
        </w:rPr>
        <w:t xml:space="preserve"> fibre. The delivery plan for 2022/23 is £0.016m. This is fully spent. </w:t>
      </w:r>
    </w:p>
    <w:p w14:paraId="0D141A33" w14:textId="77777777" w:rsidR="00381CAD" w:rsidRPr="00381CAD" w:rsidRDefault="00381CAD" w:rsidP="00381CAD">
      <w:pPr>
        <w:spacing w:after="0"/>
        <w:rPr>
          <w:rFonts w:cs="Arial"/>
          <w:b/>
          <w:bCs/>
        </w:rPr>
      </w:pPr>
    </w:p>
    <w:p w14:paraId="573DD1CB" w14:textId="77777777" w:rsidR="00381CAD" w:rsidRPr="00381CAD" w:rsidRDefault="00381CAD" w:rsidP="00381CAD">
      <w:pPr>
        <w:spacing w:after="0"/>
        <w:rPr>
          <w:rFonts w:cs="Arial"/>
          <w:b/>
          <w:bCs/>
        </w:rPr>
      </w:pPr>
      <w:r w:rsidRPr="00381CAD">
        <w:rPr>
          <w:rFonts w:cs="Arial"/>
          <w:b/>
          <w:bCs/>
        </w:rPr>
        <w:t>Devolved Formula Capital (DFC)</w:t>
      </w:r>
    </w:p>
    <w:p w14:paraId="79A64C95" w14:textId="77777777" w:rsidR="00381CAD" w:rsidRPr="00381CAD" w:rsidRDefault="00381CAD" w:rsidP="00381CAD">
      <w:pPr>
        <w:spacing w:after="0"/>
        <w:rPr>
          <w:rFonts w:cs="Arial"/>
          <w:bCs/>
        </w:rPr>
      </w:pPr>
      <w:r w:rsidRPr="00381CAD">
        <w:rPr>
          <w:rFonts w:cs="Arial"/>
          <w:bCs/>
        </w:rPr>
        <w:t xml:space="preserve">The DFC programme is a grant funded programme for small to medium capital projects. It is allocated to schools on a formula basis by the DfE </w:t>
      </w:r>
      <w:proofErr w:type="gramStart"/>
      <w:r w:rsidRPr="00381CAD">
        <w:rPr>
          <w:rFonts w:cs="Arial"/>
          <w:bCs/>
        </w:rPr>
        <w:t>in order for</w:t>
      </w:r>
      <w:proofErr w:type="gramEnd"/>
      <w:r w:rsidRPr="00381CAD">
        <w:rPr>
          <w:rFonts w:cs="Arial"/>
          <w:bCs/>
        </w:rPr>
        <w:t xml:space="preserve"> schools to spend on capital projects within expenditure guidelines. The DFC 2022/23 delivery plan is £2.338m. No variance against budget is currently forecast. </w:t>
      </w:r>
    </w:p>
    <w:p w14:paraId="32068AC9" w14:textId="77777777" w:rsidR="00381CAD" w:rsidRPr="00381CAD" w:rsidRDefault="00381CAD" w:rsidP="00381CAD">
      <w:pPr>
        <w:spacing w:after="0"/>
        <w:rPr>
          <w:rFonts w:cs="Arial"/>
          <w:b/>
          <w:bCs/>
        </w:rPr>
      </w:pPr>
    </w:p>
    <w:p w14:paraId="4006FED6" w14:textId="77777777" w:rsidR="00381CAD" w:rsidRPr="00381CAD" w:rsidRDefault="00381CAD" w:rsidP="00381CAD">
      <w:pPr>
        <w:spacing w:after="0"/>
        <w:rPr>
          <w:rFonts w:cs="Arial"/>
          <w:b/>
        </w:rPr>
      </w:pPr>
      <w:r w:rsidRPr="00381CAD">
        <w:rPr>
          <w:rFonts w:cs="Arial"/>
          <w:b/>
        </w:rPr>
        <w:t>Highways</w:t>
      </w:r>
    </w:p>
    <w:p w14:paraId="676B2BF6" w14:textId="77777777" w:rsidR="00381CAD" w:rsidRPr="00381CAD" w:rsidRDefault="00381CAD" w:rsidP="00381CAD">
      <w:pPr>
        <w:spacing w:after="0"/>
        <w:rPr>
          <w:rFonts w:cs="Arial"/>
          <w:b/>
        </w:rPr>
      </w:pPr>
    </w:p>
    <w:p w14:paraId="15825C81" w14:textId="77777777" w:rsidR="00381CAD" w:rsidRPr="00381CAD" w:rsidRDefault="00381CAD" w:rsidP="00381CAD">
      <w:pPr>
        <w:spacing w:after="0"/>
        <w:rPr>
          <w:rFonts w:cs="Arial"/>
          <w:b/>
        </w:rPr>
      </w:pPr>
      <w:r w:rsidRPr="00381CAD">
        <w:rPr>
          <w:rFonts w:cs="Arial"/>
          <w:b/>
        </w:rPr>
        <w:t>The Highways capital programme has a 2022/23 delivery plan of £49.962m.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£52.275m, a variance of £2.313m. </w:t>
      </w:r>
    </w:p>
    <w:p w14:paraId="45237610" w14:textId="77777777" w:rsidR="00381CAD" w:rsidRPr="00381CAD" w:rsidRDefault="00381CAD" w:rsidP="00381CAD">
      <w:pPr>
        <w:spacing w:after="0"/>
        <w:jc w:val="right"/>
        <w:rPr>
          <w:rFonts w:cs="Arial"/>
          <w:b/>
          <w:highlight w:val="yellow"/>
        </w:rPr>
      </w:pPr>
    </w:p>
    <w:p w14:paraId="7C751C4D" w14:textId="77777777" w:rsidR="00381CAD" w:rsidRPr="00381CAD" w:rsidRDefault="00381CAD" w:rsidP="00381CAD">
      <w:pPr>
        <w:spacing w:after="0"/>
        <w:rPr>
          <w:rFonts w:cs="Arial"/>
          <w:bCs/>
        </w:rPr>
      </w:pPr>
      <w:r w:rsidRPr="00381CAD">
        <w:rPr>
          <w:rFonts w:cs="Arial"/>
          <w:bCs/>
        </w:rPr>
        <w:t xml:space="preserve">Delivery of the highways programme is progressing well, </w:t>
      </w:r>
      <w:proofErr w:type="gramStart"/>
      <w:r w:rsidRPr="00381CAD">
        <w:rPr>
          <w:rFonts w:cs="Arial"/>
          <w:bCs/>
        </w:rPr>
        <w:t>in particular the</w:t>
      </w:r>
      <w:proofErr w:type="gramEnd"/>
      <w:r w:rsidRPr="00381CAD">
        <w:rPr>
          <w:rFonts w:cs="Arial"/>
          <w:bCs/>
        </w:rPr>
        <w:t xml:space="preserve"> drainage programme. However, the challenging economic environment and inflationary pressures has led to significant labour, plant, material, energy and fuel increases which are affecting the whole service. This is having a particularly large impact on bitumen availability and price, resulting in several programmes now forecasting overspends.</w:t>
      </w:r>
    </w:p>
    <w:p w14:paraId="33CBA3AB" w14:textId="77777777" w:rsidR="00381CAD" w:rsidRPr="00381CAD" w:rsidRDefault="00381CAD" w:rsidP="00381CAD">
      <w:pPr>
        <w:spacing w:after="0"/>
        <w:rPr>
          <w:rFonts w:cs="Arial"/>
          <w:bCs/>
        </w:rPr>
      </w:pPr>
    </w:p>
    <w:p w14:paraId="2652ADF7" w14:textId="77777777" w:rsidR="00381CAD" w:rsidRPr="00381CAD" w:rsidRDefault="00381CAD" w:rsidP="00381CAD">
      <w:pPr>
        <w:spacing w:after="0"/>
        <w:rPr>
          <w:rFonts w:cs="Arial"/>
          <w:bCs/>
        </w:rPr>
      </w:pPr>
      <w:r w:rsidRPr="00381CAD">
        <w:rPr>
          <w:rFonts w:cs="Arial"/>
          <w:bCs/>
        </w:rPr>
        <w:t xml:space="preserve">Following the significant overspend on structural defects last financial year a review has been carried out and new ways of workings introduced.  As a direct result of this </w:t>
      </w:r>
      <w:r w:rsidRPr="00381CAD">
        <w:rPr>
          <w:rFonts w:cs="Arial"/>
          <w:bCs/>
        </w:rPr>
        <w:lastRenderedPageBreak/>
        <w:t>the spend has reduced significantly in the last couple of months, at the end of quarter 2 spend is £5.970m.  However, the impact of the fuel and bitumen price increases and the likelihood of increased numbers of defects during the winter period suggests that the forecast spend is likely to be £11.800m, an overspend of £1.800m. The situation is being kept under review. The drainage defect programme is also under pressure due to rising costs and the forecast is currently an overspend of £0.113m.</w:t>
      </w:r>
    </w:p>
    <w:p w14:paraId="4CE8A436" w14:textId="77777777" w:rsidR="00381CAD" w:rsidRPr="00381CAD" w:rsidRDefault="00381CAD" w:rsidP="00381CAD">
      <w:pPr>
        <w:spacing w:after="0"/>
        <w:rPr>
          <w:rFonts w:cs="Arial"/>
          <w:bCs/>
        </w:rPr>
      </w:pPr>
    </w:p>
    <w:p w14:paraId="13F09066" w14:textId="77777777" w:rsidR="00381CAD" w:rsidRPr="00381CAD" w:rsidRDefault="00381CAD" w:rsidP="00381CAD">
      <w:pPr>
        <w:spacing w:after="0"/>
        <w:rPr>
          <w:rFonts w:cs="Arial"/>
          <w:bCs/>
        </w:rPr>
      </w:pPr>
      <w:r w:rsidRPr="00381CAD">
        <w:rPr>
          <w:rFonts w:cs="Arial"/>
          <w:bCs/>
        </w:rPr>
        <w:t>Within the street lighting column replacement programme, higher material costs for electrical components and steel have led to increases in the cost of columns. This has reduced the quantity of replacements highways can carry out this year and has led to works being suspended.</w:t>
      </w:r>
    </w:p>
    <w:p w14:paraId="0EE0584C" w14:textId="77777777" w:rsidR="00381CAD" w:rsidRPr="00381CAD" w:rsidRDefault="00381CAD" w:rsidP="00381CAD">
      <w:pPr>
        <w:spacing w:after="0"/>
        <w:rPr>
          <w:rFonts w:cs="Arial"/>
          <w:bCs/>
        </w:rPr>
      </w:pPr>
    </w:p>
    <w:p w14:paraId="4FA81AC6" w14:textId="77777777" w:rsidR="00381CAD" w:rsidRPr="00381CAD" w:rsidRDefault="00381CAD" w:rsidP="00381CAD">
      <w:pPr>
        <w:spacing w:after="0"/>
        <w:rPr>
          <w:rFonts w:cs="Arial"/>
          <w:bCs/>
        </w:rPr>
      </w:pPr>
      <w:r w:rsidRPr="00381CAD">
        <w:rPr>
          <w:rFonts w:cs="Arial"/>
          <w:bCs/>
        </w:rPr>
        <w:t xml:space="preserve">The budget to replace columns identified through the testing programme is under pressure with a high proportion of structural failures being identified. An overspend of £0.200m to replace the columns identified is forecast with management actions being identified to mitigate against any further pressures.  </w:t>
      </w:r>
    </w:p>
    <w:p w14:paraId="7F17FC7C" w14:textId="77777777" w:rsidR="00381CAD" w:rsidRPr="00381CAD" w:rsidRDefault="00381CAD" w:rsidP="00381CAD">
      <w:pPr>
        <w:spacing w:after="0"/>
        <w:rPr>
          <w:rFonts w:cs="Arial"/>
          <w:bCs/>
        </w:rPr>
      </w:pPr>
    </w:p>
    <w:p w14:paraId="563E2A17" w14:textId="77777777" w:rsidR="00381CAD" w:rsidRPr="00381CAD" w:rsidRDefault="00381CAD" w:rsidP="00381CAD">
      <w:pPr>
        <w:spacing w:after="0"/>
        <w:rPr>
          <w:rFonts w:cs="Arial"/>
          <w:bCs/>
        </w:rPr>
      </w:pPr>
      <w:r w:rsidRPr="00381CAD">
        <w:rPr>
          <w:rFonts w:cs="Arial"/>
          <w:bCs/>
        </w:rPr>
        <w:t>There is a risk of slippage in the footway and traffic signal programmes due to contractors programming the works for later in the financial year. The weather is also a risk, the uncertainty over weather forecasting means planning and budgeting for certain programmes is difficult, but it also impacts on road repairs as certain types of treatment can only be done within specific temperature ranges.</w:t>
      </w:r>
    </w:p>
    <w:p w14:paraId="29E196BD" w14:textId="77777777" w:rsidR="00381CAD" w:rsidRPr="00381CAD" w:rsidRDefault="00381CAD" w:rsidP="00381CAD">
      <w:pPr>
        <w:spacing w:after="0"/>
        <w:rPr>
          <w:rFonts w:cs="Arial"/>
          <w:bCs/>
          <w:highlight w:val="yellow"/>
        </w:rPr>
      </w:pPr>
    </w:p>
    <w:p w14:paraId="4E609718" w14:textId="77777777" w:rsidR="00381CAD" w:rsidRPr="00381CAD" w:rsidRDefault="00381CAD" w:rsidP="00381CAD">
      <w:pPr>
        <w:spacing w:after="0"/>
        <w:rPr>
          <w:rFonts w:cs="Arial"/>
          <w:b/>
          <w:bCs/>
        </w:rPr>
      </w:pPr>
      <w:r w:rsidRPr="00381CAD">
        <w:rPr>
          <w:rFonts w:cs="Arial"/>
          <w:b/>
          <w:bCs/>
        </w:rPr>
        <w:t>Transport</w:t>
      </w:r>
    </w:p>
    <w:p w14:paraId="6A9143AA" w14:textId="77777777" w:rsidR="00381CAD" w:rsidRPr="00381CAD" w:rsidRDefault="00381CAD" w:rsidP="00381CAD">
      <w:pPr>
        <w:spacing w:after="0"/>
        <w:rPr>
          <w:rFonts w:cs="Arial"/>
          <w:b/>
          <w:bCs/>
        </w:rPr>
      </w:pPr>
    </w:p>
    <w:p w14:paraId="61DDC9B1" w14:textId="77777777" w:rsidR="00381CAD" w:rsidRPr="00381CAD" w:rsidRDefault="00381CAD" w:rsidP="00381CAD">
      <w:pPr>
        <w:spacing w:after="0"/>
        <w:rPr>
          <w:rFonts w:cs="Arial"/>
          <w:b/>
        </w:rPr>
      </w:pPr>
      <w:r w:rsidRPr="00381CAD">
        <w:rPr>
          <w:rFonts w:cs="Arial"/>
          <w:b/>
        </w:rPr>
        <w:t>The Transport capital programme has a 2022/23 delivery plan of £23.594m.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£17.805m, a variance of -£5.789m. </w:t>
      </w:r>
    </w:p>
    <w:p w14:paraId="148F6B96" w14:textId="77777777" w:rsidR="00381CAD" w:rsidRPr="00381CAD" w:rsidRDefault="00381CAD" w:rsidP="00381CAD">
      <w:pPr>
        <w:spacing w:after="0"/>
        <w:rPr>
          <w:rFonts w:cs="Arial"/>
        </w:rPr>
      </w:pPr>
    </w:p>
    <w:p w14:paraId="5D1F1CA0" w14:textId="77777777" w:rsidR="00381CAD" w:rsidRPr="00381CAD" w:rsidRDefault="00381CAD" w:rsidP="00381CAD">
      <w:pPr>
        <w:spacing w:after="0"/>
        <w:rPr>
          <w:rFonts w:cs="Arial"/>
        </w:rPr>
      </w:pPr>
      <w:r w:rsidRPr="00381CAD">
        <w:rPr>
          <w:rFonts w:cs="Arial"/>
        </w:rPr>
        <w:t>A summary of delivery in the main programmes within the block is given below:</w:t>
      </w:r>
    </w:p>
    <w:p w14:paraId="0D9A1CBD" w14:textId="77777777" w:rsidR="00381CAD" w:rsidRPr="00381CAD" w:rsidRDefault="00381CAD" w:rsidP="00381CAD">
      <w:pPr>
        <w:spacing w:after="0"/>
        <w:rPr>
          <w:rFonts w:cs="Arial"/>
        </w:rPr>
      </w:pPr>
    </w:p>
    <w:p w14:paraId="6C4D46BD" w14:textId="77777777" w:rsidR="00381CAD" w:rsidRPr="00381CAD" w:rsidRDefault="00381CAD" w:rsidP="00381CAD">
      <w:pPr>
        <w:spacing w:after="0"/>
        <w:rPr>
          <w:rFonts w:cs="Arial"/>
          <w:b/>
        </w:rPr>
      </w:pPr>
      <w:r w:rsidRPr="00381CAD">
        <w:rPr>
          <w:rFonts w:cs="Arial"/>
          <w:b/>
        </w:rPr>
        <w:t>Ormskirk eastern gateway</w:t>
      </w:r>
    </w:p>
    <w:p w14:paraId="6B9FB6D2" w14:textId="77777777" w:rsidR="00381CAD" w:rsidRPr="00381CAD" w:rsidRDefault="00381CAD" w:rsidP="00381CAD">
      <w:pPr>
        <w:spacing w:after="0"/>
        <w:rPr>
          <w:rFonts w:cs="Arial"/>
        </w:rPr>
      </w:pPr>
      <w:r w:rsidRPr="00381CAD">
        <w:rPr>
          <w:rFonts w:cs="Arial"/>
        </w:rPr>
        <w:t xml:space="preserve">A joint programme with West Lancs borough council (WLBC) to demolish the bus station building and create valuable open space in the town centre, the project is being funded in </w:t>
      </w:r>
      <w:proofErr w:type="gramStart"/>
      <w:r w:rsidRPr="00381CAD">
        <w:rPr>
          <w:rFonts w:cs="Arial"/>
        </w:rPr>
        <w:t>part  by</w:t>
      </w:r>
      <w:proofErr w:type="gramEnd"/>
      <w:r w:rsidRPr="00381CAD">
        <w:rPr>
          <w:rFonts w:cs="Arial"/>
        </w:rPr>
        <w:t xml:space="preserve"> WLBC with external grants.  As the design and tender process as well as funding arrangements with WLBC have been completed a more informed delivery timescale can now be profiled meaning that -£0.300m more of the expenditure may now slip into 2023/24. The invoicing for the WLBC contribution has already been agreed for the year to date as per the funding agreements and the scheme is forecast to be on budget overall over the multi-year programme.</w:t>
      </w:r>
    </w:p>
    <w:p w14:paraId="6935815C" w14:textId="77777777" w:rsidR="00381CAD" w:rsidRPr="00381CAD" w:rsidRDefault="00381CAD" w:rsidP="00381CAD">
      <w:pPr>
        <w:spacing w:after="0"/>
        <w:rPr>
          <w:rFonts w:cs="Arial"/>
          <w:highlight w:val="yellow"/>
        </w:rPr>
      </w:pPr>
    </w:p>
    <w:p w14:paraId="44B095FD" w14:textId="77777777" w:rsidR="00381CAD" w:rsidRPr="00381CAD" w:rsidRDefault="00381CAD" w:rsidP="00381CAD">
      <w:pPr>
        <w:spacing w:after="0"/>
        <w:rPr>
          <w:rFonts w:cs="Arial"/>
          <w:b/>
        </w:rPr>
      </w:pPr>
      <w:r w:rsidRPr="00381CAD">
        <w:rPr>
          <w:rFonts w:cs="Arial"/>
          <w:b/>
        </w:rPr>
        <w:t>Safer Roads Scheme</w:t>
      </w:r>
    </w:p>
    <w:p w14:paraId="4576F682" w14:textId="77777777" w:rsidR="00381CAD" w:rsidRPr="00381CAD" w:rsidRDefault="00381CAD" w:rsidP="00381CAD">
      <w:pPr>
        <w:spacing w:after="0"/>
        <w:rPr>
          <w:rFonts w:cs="Arial"/>
        </w:rPr>
      </w:pPr>
      <w:r w:rsidRPr="00381CAD">
        <w:rPr>
          <w:rFonts w:cs="Arial"/>
        </w:rPr>
        <w:t>The remaining outstanding work in the programme is the installation of average speed cameras for which a tender has been accepted. Now the work plan has been agreed, there is more detailed knowledge of the spend required this year, so delivery is forecast to be £0.236m more than in the original delivery plan set in June for 2022/23. The remaining work is expected to take 12 months from commencement of installation at the sites with the remaining budget to meet final expenditure in 2023/24.</w:t>
      </w:r>
    </w:p>
    <w:p w14:paraId="7FDBACC5" w14:textId="77777777" w:rsidR="00381CAD" w:rsidRPr="00381CAD" w:rsidRDefault="00381CAD" w:rsidP="00381CAD">
      <w:pPr>
        <w:spacing w:after="0"/>
        <w:rPr>
          <w:rFonts w:cs="Arial"/>
        </w:rPr>
      </w:pPr>
    </w:p>
    <w:p w14:paraId="297FEFB6" w14:textId="77777777" w:rsidR="00381CAD" w:rsidRPr="00381CAD" w:rsidRDefault="00381CAD" w:rsidP="00381CAD">
      <w:pPr>
        <w:spacing w:after="0"/>
        <w:rPr>
          <w:rFonts w:cs="Arial"/>
          <w:b/>
        </w:rPr>
      </w:pPr>
      <w:r w:rsidRPr="00381CAD">
        <w:rPr>
          <w:rFonts w:cs="Arial"/>
          <w:b/>
        </w:rPr>
        <w:lastRenderedPageBreak/>
        <w:t>M55 Link Road</w:t>
      </w:r>
    </w:p>
    <w:p w14:paraId="2C1BF38F" w14:textId="77777777" w:rsidR="00381CAD" w:rsidRPr="00381CAD" w:rsidRDefault="00381CAD" w:rsidP="00381CAD">
      <w:pPr>
        <w:spacing w:after="0"/>
        <w:rPr>
          <w:rFonts w:cs="Arial"/>
        </w:rPr>
      </w:pPr>
      <w:r w:rsidRPr="00381CAD">
        <w:rPr>
          <w:rFonts w:cs="Arial"/>
        </w:rPr>
        <w:t xml:space="preserve">The M55 to </w:t>
      </w:r>
      <w:proofErr w:type="spellStart"/>
      <w:r w:rsidRPr="00381CAD">
        <w:rPr>
          <w:rFonts w:cs="Arial"/>
        </w:rPr>
        <w:t>Heyhouses</w:t>
      </w:r>
      <w:proofErr w:type="spellEnd"/>
      <w:r w:rsidRPr="00381CAD">
        <w:rPr>
          <w:rFonts w:cs="Arial"/>
        </w:rPr>
        <w:t xml:space="preserve"> link road will create a </w:t>
      </w:r>
      <w:proofErr w:type="gramStart"/>
      <w:r w:rsidRPr="00381CAD">
        <w:rPr>
          <w:rFonts w:cs="Arial"/>
        </w:rPr>
        <w:t>much improved</w:t>
      </w:r>
      <w:proofErr w:type="gramEnd"/>
      <w:r w:rsidRPr="00381CAD">
        <w:rPr>
          <w:rFonts w:cs="Arial"/>
        </w:rPr>
        <w:t xml:space="preserve"> connection between Lytham St Annes and the M55 motorway, relieving congestion on smaller local roads to support the development of housing and business opportunities. Construction commenced in June 2021 estimated to take 18 months. Delays encountered by the contractor undertaking this work have meant that LCC Highways staff are now expected to be on site from Mar-Dec 2023 rather than the initial Sept 2022 causing a slippage variance of -£1.500m.</w:t>
      </w:r>
    </w:p>
    <w:p w14:paraId="475B71A4" w14:textId="77777777" w:rsidR="00381CAD" w:rsidRPr="00381CAD" w:rsidRDefault="00381CAD" w:rsidP="00381CAD">
      <w:pPr>
        <w:spacing w:after="0"/>
        <w:rPr>
          <w:rFonts w:cs="Arial"/>
        </w:rPr>
      </w:pPr>
      <w:r w:rsidRPr="00381CAD">
        <w:rPr>
          <w:rFonts w:cs="Arial"/>
        </w:rPr>
        <w:t xml:space="preserve"> </w:t>
      </w:r>
    </w:p>
    <w:p w14:paraId="1A237F5D" w14:textId="77777777" w:rsidR="00381CAD" w:rsidRPr="00381CAD" w:rsidRDefault="00381CAD" w:rsidP="00381CAD">
      <w:pPr>
        <w:spacing w:after="0"/>
        <w:rPr>
          <w:rFonts w:cs="Arial"/>
          <w:b/>
        </w:rPr>
      </w:pPr>
      <w:r w:rsidRPr="00381CAD">
        <w:rPr>
          <w:rFonts w:cs="Arial"/>
          <w:b/>
        </w:rPr>
        <w:t>Heysham</w:t>
      </w:r>
    </w:p>
    <w:p w14:paraId="5ED9E402" w14:textId="77777777" w:rsidR="00381CAD" w:rsidRPr="00381CAD" w:rsidRDefault="00381CAD" w:rsidP="00381CAD">
      <w:pPr>
        <w:spacing w:after="0"/>
        <w:rPr>
          <w:rFonts w:cs="Arial"/>
        </w:rPr>
      </w:pPr>
      <w:r w:rsidRPr="00381CAD">
        <w:rPr>
          <w:rFonts w:cs="Arial"/>
        </w:rPr>
        <w:t>A delivery budget of £4.000m, supported by the Integrated Transport Grant, was agreed for 2022/23 to finalise land disputes caused by the length of time tribunals have taken to resolve. These delays are still ongoing and slippage of -£2.000m is forecast as a result though the full budget is still estimated to be required.</w:t>
      </w:r>
    </w:p>
    <w:p w14:paraId="680CF6AB" w14:textId="77777777" w:rsidR="00381CAD" w:rsidRPr="00381CAD" w:rsidRDefault="00381CAD" w:rsidP="00381CAD">
      <w:pPr>
        <w:spacing w:after="0"/>
        <w:rPr>
          <w:rFonts w:cs="Arial"/>
        </w:rPr>
      </w:pPr>
    </w:p>
    <w:p w14:paraId="545FE512" w14:textId="77777777" w:rsidR="00381CAD" w:rsidRPr="00381CAD" w:rsidRDefault="00381CAD" w:rsidP="00381CAD">
      <w:pPr>
        <w:spacing w:after="0"/>
        <w:rPr>
          <w:rFonts w:cs="Arial"/>
          <w:b/>
        </w:rPr>
      </w:pPr>
      <w:r w:rsidRPr="00381CAD">
        <w:rPr>
          <w:rFonts w:cs="Arial"/>
          <w:b/>
        </w:rPr>
        <w:t>City Deal</w:t>
      </w:r>
    </w:p>
    <w:p w14:paraId="7DE3D367" w14:textId="77777777" w:rsidR="00381CAD" w:rsidRPr="00381CAD" w:rsidRDefault="00381CAD" w:rsidP="00381CAD">
      <w:pPr>
        <w:spacing w:after="0"/>
        <w:rPr>
          <w:rFonts w:cs="Arial"/>
          <w:bCs/>
        </w:rPr>
      </w:pPr>
      <w:r w:rsidRPr="00381CAD">
        <w:rPr>
          <w:rFonts w:cs="Arial"/>
          <w:bCs/>
        </w:rPr>
        <w:t xml:space="preserve">The annual contribution towards the City Deal of £2.500m has been completed in quarter 2 to correspond to the agreed delivery budget, this is funded by the 2022/23 integrated transport grant from the DFT.  </w:t>
      </w:r>
    </w:p>
    <w:p w14:paraId="28321DE4" w14:textId="77777777" w:rsidR="00381CAD" w:rsidRPr="00381CAD" w:rsidRDefault="00381CAD" w:rsidP="00381CAD">
      <w:pPr>
        <w:spacing w:after="0"/>
        <w:rPr>
          <w:rFonts w:cs="Arial"/>
          <w:b/>
        </w:rPr>
      </w:pPr>
    </w:p>
    <w:p w14:paraId="25B176E4" w14:textId="77777777" w:rsidR="00381CAD" w:rsidRPr="00381CAD" w:rsidRDefault="00381CAD" w:rsidP="00381CAD">
      <w:pPr>
        <w:spacing w:after="0"/>
        <w:rPr>
          <w:rFonts w:cs="Arial"/>
          <w:b/>
        </w:rPr>
      </w:pPr>
      <w:r w:rsidRPr="00381CAD">
        <w:rPr>
          <w:rFonts w:cs="Arial"/>
          <w:b/>
        </w:rPr>
        <w:t>East Lancs Strategic Cycleway</w:t>
      </w:r>
    </w:p>
    <w:p w14:paraId="242AD21C" w14:textId="77777777" w:rsidR="00381CAD" w:rsidRPr="00381CAD" w:rsidRDefault="00381CAD" w:rsidP="00381CAD">
      <w:pPr>
        <w:spacing w:after="0"/>
        <w:rPr>
          <w:rFonts w:cs="Arial"/>
          <w:bCs/>
        </w:rPr>
      </w:pPr>
      <w:r w:rsidRPr="00381CAD">
        <w:rPr>
          <w:rFonts w:cs="Arial"/>
          <w:bCs/>
        </w:rPr>
        <w:t xml:space="preserve">The aim is to create a joined-up network that provides access to workplaces, schools, as well as providing tourism and recreation opportunities. The routes will be based on old disused railway lines, including tunnels and will mainly be off road greenways. The programme had an agreed budget of £0.834m for 2022/23 but it has now been agreed that </w:t>
      </w:r>
      <w:proofErr w:type="gramStart"/>
      <w:r w:rsidRPr="00381CAD">
        <w:rPr>
          <w:rFonts w:cs="Arial"/>
          <w:bCs/>
        </w:rPr>
        <w:t>the majority of</w:t>
      </w:r>
      <w:proofErr w:type="gramEnd"/>
      <w:r w:rsidRPr="00381CAD">
        <w:rPr>
          <w:rFonts w:cs="Arial"/>
          <w:bCs/>
        </w:rPr>
        <w:t xml:space="preserve"> the scheme will be completed next year, a forecast slippage variance of -£0.634m is reported due to ecological survey results on the tunnels in the scheme resulting in delays to works starts by a season</w:t>
      </w:r>
    </w:p>
    <w:p w14:paraId="19CB4860" w14:textId="77777777" w:rsidR="00381CAD" w:rsidRPr="00381CAD" w:rsidRDefault="00381CAD" w:rsidP="00381CAD">
      <w:pPr>
        <w:spacing w:after="0"/>
        <w:rPr>
          <w:rFonts w:cs="Arial"/>
          <w:b/>
          <w:highlight w:val="yellow"/>
        </w:rPr>
      </w:pPr>
    </w:p>
    <w:p w14:paraId="26A45A4D" w14:textId="77777777" w:rsidR="00381CAD" w:rsidRPr="00381CAD" w:rsidRDefault="00381CAD" w:rsidP="00381CAD">
      <w:pPr>
        <w:spacing w:after="0"/>
        <w:rPr>
          <w:rFonts w:cs="Arial"/>
          <w:b/>
          <w:bCs/>
        </w:rPr>
      </w:pPr>
      <w:r w:rsidRPr="00381CAD">
        <w:rPr>
          <w:rFonts w:cs="Arial"/>
          <w:b/>
          <w:bCs/>
        </w:rPr>
        <w:t>Public Rights of Way (PROW)</w:t>
      </w:r>
    </w:p>
    <w:p w14:paraId="0A290422" w14:textId="77777777" w:rsidR="00381CAD" w:rsidRPr="00381CAD" w:rsidRDefault="00381CAD" w:rsidP="00381CAD">
      <w:pPr>
        <w:spacing w:after="0"/>
        <w:rPr>
          <w:rFonts w:cs="Arial"/>
        </w:rPr>
      </w:pPr>
      <w:proofErr w:type="gramStart"/>
      <w:r w:rsidRPr="00381CAD">
        <w:rPr>
          <w:rFonts w:cs="Arial"/>
        </w:rPr>
        <w:t>A number of</w:t>
      </w:r>
      <w:proofErr w:type="gramEnd"/>
      <w:r w:rsidRPr="00381CAD">
        <w:rPr>
          <w:rFonts w:cs="Arial"/>
        </w:rPr>
        <w:t xml:space="preserve"> the schemes in this year's PROW delivery plan have already been completed, including the additional approval for improvements to Mitton Sisters Pennine Bridleway which created £0.063m of additional delivery.  The resurfacing work on the footpath FP51 in Mellor, which was originally approved some years ago but had never been programmed for delivery, created a further £0.016m of additional delivery variance from the June delivery plan. The progress already made on the remaining projects has led to an additional delivery forecast of £0.411m as projects are advanced from their original planned 23/24 start dates whilst work on the Capitol Centre is now predicted to slip into 2023/24, with a variance of -£0.100m. These changes reflect the changes </w:t>
      </w:r>
      <w:proofErr w:type="gramStart"/>
      <w:r w:rsidRPr="00381CAD">
        <w:rPr>
          <w:rFonts w:cs="Arial"/>
        </w:rPr>
        <w:t>following  design</w:t>
      </w:r>
      <w:proofErr w:type="gramEnd"/>
      <w:r w:rsidRPr="00381CAD">
        <w:rPr>
          <w:rFonts w:cs="Arial"/>
        </w:rPr>
        <w:t xml:space="preserve"> processes and </w:t>
      </w:r>
    </w:p>
    <w:p w14:paraId="62903CC1" w14:textId="77777777" w:rsidR="00381CAD" w:rsidRPr="00381CAD" w:rsidRDefault="00381CAD" w:rsidP="00381CAD">
      <w:pPr>
        <w:spacing w:after="0"/>
        <w:rPr>
          <w:rFonts w:cs="Arial"/>
          <w:b/>
          <w:bCs/>
          <w:highlight w:val="yellow"/>
        </w:rPr>
      </w:pPr>
    </w:p>
    <w:p w14:paraId="52779EFD" w14:textId="77777777" w:rsidR="00381CAD" w:rsidRPr="00381CAD" w:rsidRDefault="00381CAD" w:rsidP="00381CAD">
      <w:pPr>
        <w:spacing w:after="0"/>
        <w:rPr>
          <w:rFonts w:cs="Arial"/>
          <w:b/>
          <w:bCs/>
        </w:rPr>
      </w:pPr>
      <w:r w:rsidRPr="00381CAD">
        <w:rPr>
          <w:rFonts w:cs="Arial"/>
          <w:b/>
          <w:bCs/>
        </w:rPr>
        <w:t>Cycling Safety</w:t>
      </w:r>
    </w:p>
    <w:p w14:paraId="521B38CF" w14:textId="77777777" w:rsidR="00381CAD" w:rsidRPr="00381CAD" w:rsidRDefault="00381CAD" w:rsidP="00381CAD">
      <w:pPr>
        <w:spacing w:after="0"/>
        <w:rPr>
          <w:rFonts w:cs="Arial"/>
        </w:rPr>
      </w:pPr>
      <w:r w:rsidRPr="00381CAD">
        <w:rPr>
          <w:rFonts w:cs="Arial"/>
        </w:rPr>
        <w:t xml:space="preserve">Although only a small delivery budget of £0.215m was initially agreed the forecast has already been increased to £0.817m, a forecast additional delivery variance of £0.602m. </w:t>
      </w:r>
      <w:proofErr w:type="gramStart"/>
      <w:r w:rsidRPr="00381CAD">
        <w:rPr>
          <w:rFonts w:cs="Arial"/>
        </w:rPr>
        <w:t>The majority of</w:t>
      </w:r>
      <w:proofErr w:type="gramEnd"/>
      <w:r w:rsidRPr="00381CAD">
        <w:rPr>
          <w:rFonts w:cs="Arial"/>
        </w:rPr>
        <w:t xml:space="preserve"> this expenditure was the final safety audit and defects for the Clifton Drive cycleway £0.618m supported by funding from </w:t>
      </w:r>
      <w:proofErr w:type="spellStart"/>
      <w:r w:rsidRPr="00381CAD">
        <w:rPr>
          <w:rFonts w:cs="Arial"/>
        </w:rPr>
        <w:t>Sustrans</w:t>
      </w:r>
      <w:proofErr w:type="spellEnd"/>
      <w:r w:rsidRPr="00381CAD">
        <w:rPr>
          <w:rFonts w:cs="Arial"/>
        </w:rPr>
        <w:t>.</w:t>
      </w:r>
    </w:p>
    <w:p w14:paraId="795F426D" w14:textId="77777777" w:rsidR="00381CAD" w:rsidRPr="00381CAD" w:rsidRDefault="00381CAD" w:rsidP="00381CAD">
      <w:pPr>
        <w:spacing w:after="0"/>
        <w:rPr>
          <w:rFonts w:cs="Arial"/>
          <w:highlight w:val="yellow"/>
        </w:rPr>
      </w:pPr>
    </w:p>
    <w:p w14:paraId="568438A5" w14:textId="3C29B0D8" w:rsidR="00381CAD" w:rsidRDefault="00381CAD" w:rsidP="00381CAD">
      <w:pPr>
        <w:spacing w:after="0"/>
        <w:rPr>
          <w:rFonts w:cs="Arial"/>
          <w:b/>
          <w:highlight w:val="yellow"/>
        </w:rPr>
      </w:pPr>
    </w:p>
    <w:p w14:paraId="26722769" w14:textId="045EB1ED" w:rsidR="00821D17" w:rsidRDefault="00821D17" w:rsidP="00381CAD">
      <w:pPr>
        <w:spacing w:after="0"/>
        <w:rPr>
          <w:rFonts w:cs="Arial"/>
          <w:b/>
          <w:highlight w:val="yellow"/>
        </w:rPr>
      </w:pPr>
    </w:p>
    <w:p w14:paraId="3FDC8F37" w14:textId="77777777" w:rsidR="00821D17" w:rsidRPr="00381CAD" w:rsidRDefault="00821D17" w:rsidP="00381CAD">
      <w:pPr>
        <w:spacing w:after="0"/>
        <w:rPr>
          <w:rFonts w:cs="Arial"/>
          <w:b/>
          <w:highlight w:val="yellow"/>
        </w:rPr>
      </w:pPr>
    </w:p>
    <w:p w14:paraId="297E0542" w14:textId="77777777" w:rsidR="00381CAD" w:rsidRPr="00381CAD" w:rsidRDefault="00381CAD" w:rsidP="00381CAD">
      <w:pPr>
        <w:spacing w:after="0"/>
        <w:rPr>
          <w:rFonts w:cs="Arial"/>
          <w:b/>
        </w:rPr>
      </w:pPr>
      <w:r w:rsidRPr="00381CAD">
        <w:rPr>
          <w:rFonts w:cs="Arial"/>
          <w:b/>
        </w:rPr>
        <w:lastRenderedPageBreak/>
        <w:t>Externally Funded</w:t>
      </w:r>
    </w:p>
    <w:p w14:paraId="629C7D5B" w14:textId="77777777" w:rsidR="00381CAD" w:rsidRPr="00381CAD" w:rsidRDefault="00381CAD" w:rsidP="00381CAD">
      <w:pPr>
        <w:spacing w:after="0"/>
        <w:rPr>
          <w:rFonts w:cs="Arial"/>
          <w:b/>
        </w:rPr>
      </w:pPr>
    </w:p>
    <w:p w14:paraId="2881F7BB" w14:textId="77777777" w:rsidR="00381CAD" w:rsidRPr="00381CAD" w:rsidRDefault="00381CAD" w:rsidP="00381CAD">
      <w:pPr>
        <w:spacing w:after="0"/>
        <w:rPr>
          <w:rFonts w:cs="Arial"/>
          <w:b/>
        </w:rPr>
      </w:pPr>
      <w:r w:rsidRPr="00381CAD">
        <w:rPr>
          <w:rFonts w:cs="Arial"/>
          <w:b/>
        </w:rPr>
        <w:t>The externally funded capital programme has a 2022/23 delivery plan of £2.017m.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£1.465m, a variance of -£0.552m. </w:t>
      </w:r>
    </w:p>
    <w:p w14:paraId="1D099B73" w14:textId="77777777" w:rsidR="00381CAD" w:rsidRPr="00381CAD" w:rsidRDefault="00381CAD" w:rsidP="00381CAD">
      <w:pPr>
        <w:spacing w:after="0"/>
        <w:rPr>
          <w:rFonts w:cs="Arial"/>
          <w:bCs/>
          <w:highlight w:val="yellow"/>
        </w:rPr>
      </w:pPr>
    </w:p>
    <w:p w14:paraId="149D4E71" w14:textId="77777777" w:rsidR="00381CAD" w:rsidRPr="00381CAD" w:rsidRDefault="00381CAD" w:rsidP="00381CAD">
      <w:pPr>
        <w:spacing w:after="0"/>
        <w:rPr>
          <w:rFonts w:cs="Arial"/>
        </w:rPr>
      </w:pPr>
      <w:r w:rsidRPr="00381CAD">
        <w:rPr>
          <w:rFonts w:cs="Arial"/>
        </w:rPr>
        <w:t xml:space="preserve">The externally funded schemes block are projects funded from external contributions, predominately S106 and S278 contributions from developers. </w:t>
      </w:r>
    </w:p>
    <w:p w14:paraId="71D6F959" w14:textId="77777777" w:rsidR="00381CAD" w:rsidRPr="00381CAD" w:rsidRDefault="00381CAD" w:rsidP="00381CAD">
      <w:pPr>
        <w:spacing w:after="0"/>
        <w:rPr>
          <w:rFonts w:cs="Arial"/>
          <w:highlight w:val="yellow"/>
        </w:rPr>
      </w:pPr>
    </w:p>
    <w:p w14:paraId="5F28C34A" w14:textId="77777777" w:rsidR="00381CAD" w:rsidRPr="00381CAD" w:rsidRDefault="00381CAD" w:rsidP="00381CAD">
      <w:pPr>
        <w:spacing w:after="0"/>
        <w:rPr>
          <w:rFonts w:cs="Arial"/>
        </w:rPr>
      </w:pPr>
      <w:r w:rsidRPr="00381CAD">
        <w:rPr>
          <w:rFonts w:cs="Arial"/>
        </w:rPr>
        <w:t xml:space="preserve">The largest scheme within the delivery plan is </w:t>
      </w:r>
      <w:proofErr w:type="spellStart"/>
      <w:r w:rsidRPr="00381CAD">
        <w:rPr>
          <w:rFonts w:cs="Arial"/>
        </w:rPr>
        <w:t>UCLan</w:t>
      </w:r>
      <w:proofErr w:type="spellEnd"/>
      <w:r w:rsidRPr="00381CAD">
        <w:rPr>
          <w:rFonts w:cs="Arial"/>
        </w:rPr>
        <w:t xml:space="preserve"> Masterplan is due to be completed this year with main contract payments now agreed and closed. There is an expected underspend variance of -£0.270m, which is planned to be returned to </w:t>
      </w:r>
      <w:proofErr w:type="spellStart"/>
      <w:r w:rsidRPr="00381CAD">
        <w:rPr>
          <w:rFonts w:cs="Arial"/>
        </w:rPr>
        <w:t>UCLan</w:t>
      </w:r>
      <w:proofErr w:type="spellEnd"/>
      <w:r w:rsidRPr="00381CAD">
        <w:rPr>
          <w:rFonts w:cs="Arial"/>
        </w:rPr>
        <w:t>.</w:t>
      </w:r>
    </w:p>
    <w:p w14:paraId="39D8E6BE" w14:textId="77777777" w:rsidR="00381CAD" w:rsidRPr="00381CAD" w:rsidRDefault="00381CAD" w:rsidP="00381CAD">
      <w:pPr>
        <w:spacing w:after="0"/>
        <w:rPr>
          <w:rFonts w:cs="Arial"/>
        </w:rPr>
      </w:pPr>
    </w:p>
    <w:p w14:paraId="5118E056" w14:textId="77777777" w:rsidR="00381CAD" w:rsidRPr="00381CAD" w:rsidRDefault="00381CAD" w:rsidP="00381CAD">
      <w:pPr>
        <w:spacing w:after="0"/>
        <w:rPr>
          <w:rFonts w:cs="Arial"/>
        </w:rPr>
      </w:pPr>
      <w:r w:rsidRPr="00381CAD">
        <w:rPr>
          <w:rFonts w:cs="Arial"/>
        </w:rPr>
        <w:t xml:space="preserve">There is a slipped delivery variance of -£0.283m across 6 schemes. The S106 Rosslyn Avenue, </w:t>
      </w:r>
      <w:proofErr w:type="spellStart"/>
      <w:r w:rsidRPr="00381CAD">
        <w:rPr>
          <w:rFonts w:cs="Arial"/>
        </w:rPr>
        <w:t>Preesall</w:t>
      </w:r>
      <w:proofErr w:type="spellEnd"/>
      <w:r w:rsidRPr="00381CAD">
        <w:rPr>
          <w:rFonts w:cs="Arial"/>
        </w:rPr>
        <w:t xml:space="preserve"> project has slippage of -£0.030m due to potential objections of the works being advertised, and deferred works on site so they can be grouped with bus stops to save on mobilisation costs. The Longridge bus stop infrastructure improvements scheme has slippage of -£0.095m with consultation delaying the progress. There is -£0.041m anticipated to be slipped on the S278 A584 Lytham Rd/Church Rd highway works scheme due to utility delays. </w:t>
      </w:r>
    </w:p>
    <w:p w14:paraId="426330DD" w14:textId="77777777" w:rsidR="00381CAD" w:rsidRPr="00381CAD" w:rsidRDefault="00381CAD" w:rsidP="00381CAD">
      <w:pPr>
        <w:spacing w:after="0"/>
        <w:rPr>
          <w:rFonts w:cs="Arial"/>
        </w:rPr>
      </w:pPr>
    </w:p>
    <w:p w14:paraId="72565E28" w14:textId="77777777" w:rsidR="00381CAD" w:rsidRPr="00381CAD" w:rsidRDefault="00381CAD" w:rsidP="00381CAD">
      <w:pPr>
        <w:spacing w:after="0"/>
        <w:rPr>
          <w:rFonts w:cs="Arial"/>
        </w:rPr>
      </w:pPr>
      <w:r w:rsidRPr="00381CAD">
        <w:rPr>
          <w:rFonts w:cs="Arial"/>
        </w:rPr>
        <w:t xml:space="preserve">There are risks associated with the Section 278 works on Blackpool Road, Kirkham scheme as the tender process will take slightly longer for construction to commence on site, however we have confidence this can be completed in advance of the nesting birds issue arising again next year. </w:t>
      </w:r>
    </w:p>
    <w:p w14:paraId="7667167F" w14:textId="77777777" w:rsidR="00381CAD" w:rsidRPr="00381CAD" w:rsidRDefault="00381CAD" w:rsidP="00381CAD">
      <w:pPr>
        <w:spacing w:after="0"/>
        <w:rPr>
          <w:rFonts w:cs="Arial"/>
          <w:b/>
          <w:highlight w:val="yellow"/>
        </w:rPr>
      </w:pPr>
    </w:p>
    <w:p w14:paraId="6BD6EA9D" w14:textId="77777777" w:rsidR="00381CAD" w:rsidRPr="00381CAD" w:rsidRDefault="00381CAD" w:rsidP="00381CAD">
      <w:pPr>
        <w:spacing w:after="0"/>
        <w:rPr>
          <w:rFonts w:cs="Arial"/>
          <w:b/>
        </w:rPr>
      </w:pPr>
      <w:r w:rsidRPr="00381CAD">
        <w:rPr>
          <w:rFonts w:cs="Arial"/>
          <w:b/>
        </w:rPr>
        <w:t>Central Systems and ICT</w:t>
      </w:r>
    </w:p>
    <w:p w14:paraId="2EF37934" w14:textId="77777777" w:rsidR="00381CAD" w:rsidRPr="00381CAD" w:rsidRDefault="00381CAD" w:rsidP="00381CAD">
      <w:pPr>
        <w:spacing w:after="0"/>
        <w:rPr>
          <w:rFonts w:cs="Arial"/>
          <w:b/>
        </w:rPr>
      </w:pPr>
    </w:p>
    <w:p w14:paraId="4D7D9695" w14:textId="77777777" w:rsidR="00381CAD" w:rsidRPr="00381CAD" w:rsidRDefault="00381CAD" w:rsidP="00381CAD">
      <w:pPr>
        <w:spacing w:after="0"/>
        <w:rPr>
          <w:rFonts w:cs="Arial"/>
          <w:b/>
        </w:rPr>
      </w:pPr>
      <w:r w:rsidRPr="00381CAD">
        <w:rPr>
          <w:rFonts w:cs="Arial"/>
          <w:b/>
        </w:rPr>
        <w:t>The central systems and ICT capital programme has a 2022/23 delivery plan of £13.989m.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£13.550m, a variance of -£0.439m. </w:t>
      </w:r>
    </w:p>
    <w:p w14:paraId="6606B209" w14:textId="77777777" w:rsidR="00381CAD" w:rsidRPr="00381CAD" w:rsidRDefault="00381CAD" w:rsidP="00381CAD">
      <w:pPr>
        <w:spacing w:after="0"/>
        <w:rPr>
          <w:rFonts w:cs="Arial"/>
          <w:b/>
          <w:highlight w:val="yellow"/>
        </w:rPr>
      </w:pPr>
    </w:p>
    <w:p w14:paraId="29E8F04B" w14:textId="77777777" w:rsidR="00381CAD" w:rsidRPr="00381CAD" w:rsidRDefault="00381CAD" w:rsidP="00381CAD">
      <w:pPr>
        <w:spacing w:after="0"/>
        <w:rPr>
          <w:rFonts w:cs="Arial"/>
          <w:bCs/>
        </w:rPr>
      </w:pPr>
      <w:r w:rsidRPr="00381CAD">
        <w:rPr>
          <w:rFonts w:cs="Arial"/>
          <w:bCs/>
        </w:rPr>
        <w:t>The largest scheme within the delivery plan is the muti year programme for the migration to Oracle Fusion Cloud programme, which is forecast to be £12.928m of the overall block for 2022/23. The revised planned go-live dates for the two main workstreams have been agreed by the project Steering Committee as 1</w:t>
      </w:r>
      <w:r w:rsidRPr="00381CAD">
        <w:rPr>
          <w:rFonts w:cs="Arial"/>
          <w:bCs/>
          <w:vertAlign w:val="superscript"/>
        </w:rPr>
        <w:t>st</w:t>
      </w:r>
      <w:r w:rsidRPr="00381CAD">
        <w:rPr>
          <w:rFonts w:cs="Arial"/>
          <w:bCs/>
        </w:rPr>
        <w:t xml:space="preserve"> December for the HR and payroll elements with finance and procurement set to go-live on the </w:t>
      </w:r>
      <w:proofErr w:type="gramStart"/>
      <w:r w:rsidRPr="00381CAD">
        <w:rPr>
          <w:rFonts w:cs="Arial"/>
          <w:bCs/>
        </w:rPr>
        <w:t>12</w:t>
      </w:r>
      <w:r w:rsidRPr="00381CAD">
        <w:rPr>
          <w:rFonts w:cs="Arial"/>
          <w:bCs/>
          <w:vertAlign w:val="superscript"/>
        </w:rPr>
        <w:t>th</w:t>
      </w:r>
      <w:proofErr w:type="gramEnd"/>
      <w:r w:rsidRPr="00381CAD">
        <w:rPr>
          <w:rFonts w:cs="Arial"/>
          <w:bCs/>
        </w:rPr>
        <w:t xml:space="preserve"> December. This project is the subject of a separate report on this meeting's agenda.  Risks remain in the programme as we go through final testing and data migration checks to deliver a safe implementation. The overall forecast includes a contingency of £2.000m to allow for any unexpected delays in the final run to go-live. </w:t>
      </w:r>
    </w:p>
    <w:p w14:paraId="68572BBC" w14:textId="77777777" w:rsidR="00381CAD" w:rsidRPr="00381CAD" w:rsidRDefault="00381CAD" w:rsidP="00381CAD">
      <w:pPr>
        <w:spacing w:after="0"/>
        <w:rPr>
          <w:rFonts w:cs="Arial"/>
          <w:bCs/>
        </w:rPr>
      </w:pPr>
      <w:r w:rsidRPr="00381CAD">
        <w:rPr>
          <w:rFonts w:cs="Arial"/>
          <w:bCs/>
        </w:rPr>
        <w:t xml:space="preserve">There has been a reallocation in year of licencing costs which had been included in previous forecast expenditure but are now to be met by a revenue provision.  This has resulted in the spend in year being an under spend variance of £0.439m whilst the overall programme is delayed from its original start </w:t>
      </w:r>
      <w:proofErr w:type="gramStart"/>
      <w:r w:rsidRPr="00381CAD">
        <w:rPr>
          <w:rFonts w:cs="Arial"/>
          <w:bCs/>
        </w:rPr>
        <w:t>date  and</w:t>
      </w:r>
      <w:proofErr w:type="gramEnd"/>
      <w:r w:rsidRPr="00381CAD">
        <w:rPr>
          <w:rFonts w:cs="Arial"/>
          <w:bCs/>
        </w:rPr>
        <w:t xml:space="preserve"> forecast over its original cost estimate.  </w:t>
      </w:r>
    </w:p>
    <w:p w14:paraId="7335B7DD" w14:textId="77777777" w:rsidR="00381CAD" w:rsidRPr="00381CAD" w:rsidRDefault="00381CAD" w:rsidP="00381CAD">
      <w:pPr>
        <w:spacing w:after="0"/>
        <w:rPr>
          <w:rFonts w:cs="Arial"/>
          <w:bCs/>
        </w:rPr>
      </w:pPr>
    </w:p>
    <w:p w14:paraId="6EDBA10D" w14:textId="77777777" w:rsidR="00381CAD" w:rsidRPr="00381CAD" w:rsidRDefault="00381CAD" w:rsidP="00381CAD">
      <w:pPr>
        <w:spacing w:after="0"/>
        <w:rPr>
          <w:rFonts w:cs="Arial"/>
          <w:bCs/>
        </w:rPr>
      </w:pPr>
      <w:r w:rsidRPr="00381CAD">
        <w:rPr>
          <w:rFonts w:cs="Arial"/>
          <w:bCs/>
        </w:rPr>
        <w:t xml:space="preserve">There are several smaller schemes making up the remainder of the delivery plan. These include an upgrade for Libraries ICT (£0.156m), the Social Care Reform </w:t>
      </w:r>
      <w:proofErr w:type="spellStart"/>
      <w:r w:rsidRPr="00381CAD">
        <w:rPr>
          <w:rFonts w:cs="Arial"/>
          <w:bCs/>
        </w:rPr>
        <w:lastRenderedPageBreak/>
        <w:t>LpRes</w:t>
      </w:r>
      <w:proofErr w:type="spellEnd"/>
      <w:r w:rsidRPr="00381CAD">
        <w:rPr>
          <w:rFonts w:cs="Arial"/>
          <w:bCs/>
        </w:rPr>
        <w:t xml:space="preserve"> scheme which links in with the NHS on shared records (£0.150m) and the Document Handling Service Replacement Hardware and New Software (£0.150m). These projects are on track to spend the anticipated delivery budget in year.</w:t>
      </w:r>
    </w:p>
    <w:p w14:paraId="7ABE7504" w14:textId="77777777" w:rsidR="00381CAD" w:rsidRPr="00381CAD" w:rsidRDefault="00381CAD" w:rsidP="00381CAD">
      <w:pPr>
        <w:spacing w:after="0"/>
        <w:rPr>
          <w:rFonts w:cs="Arial"/>
          <w:bCs/>
        </w:rPr>
      </w:pPr>
    </w:p>
    <w:p w14:paraId="779C200C" w14:textId="77777777" w:rsidR="00381CAD" w:rsidRPr="00381CAD" w:rsidRDefault="00381CAD" w:rsidP="00381CAD">
      <w:pPr>
        <w:spacing w:after="0"/>
        <w:rPr>
          <w:rFonts w:cs="Arial"/>
          <w:b/>
          <w:bCs/>
        </w:rPr>
      </w:pPr>
      <w:r w:rsidRPr="00381CAD">
        <w:rPr>
          <w:rFonts w:cs="Arial"/>
          <w:b/>
          <w:bCs/>
        </w:rPr>
        <w:t>Adults Social Care (ACS)</w:t>
      </w:r>
    </w:p>
    <w:p w14:paraId="3B866778" w14:textId="77777777" w:rsidR="00381CAD" w:rsidRPr="00381CAD" w:rsidRDefault="00381CAD" w:rsidP="00381CAD">
      <w:pPr>
        <w:spacing w:after="0"/>
        <w:rPr>
          <w:rFonts w:cs="Arial"/>
          <w:b/>
          <w:bCs/>
        </w:rPr>
      </w:pPr>
    </w:p>
    <w:p w14:paraId="2E3C2ADB" w14:textId="77777777" w:rsidR="00381CAD" w:rsidRPr="00381CAD" w:rsidRDefault="00381CAD" w:rsidP="00381CAD">
      <w:pPr>
        <w:spacing w:after="0"/>
        <w:rPr>
          <w:rFonts w:cs="Arial"/>
          <w:b/>
        </w:rPr>
      </w:pPr>
      <w:r w:rsidRPr="00381CAD">
        <w:rPr>
          <w:rFonts w:cs="Arial"/>
          <w:b/>
        </w:rPr>
        <w:t>The ACS capital programme has a 2022/23 delivery plan of £17.255m.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£17.255m, a nil variance. </w:t>
      </w:r>
    </w:p>
    <w:p w14:paraId="5544D93E" w14:textId="77777777" w:rsidR="00381CAD" w:rsidRPr="00381CAD" w:rsidRDefault="00381CAD" w:rsidP="00381CAD">
      <w:pPr>
        <w:spacing w:after="0"/>
        <w:rPr>
          <w:rFonts w:cs="Arial"/>
          <w:b/>
          <w:highlight w:val="yellow"/>
        </w:rPr>
      </w:pPr>
    </w:p>
    <w:p w14:paraId="4D4EF684" w14:textId="77777777" w:rsidR="00381CAD" w:rsidRPr="00381CAD" w:rsidRDefault="00381CAD" w:rsidP="00381CAD">
      <w:pPr>
        <w:spacing w:after="0"/>
        <w:rPr>
          <w:rFonts w:cs="Arial"/>
        </w:rPr>
      </w:pPr>
      <w:r w:rsidRPr="00381CAD">
        <w:rPr>
          <w:rFonts w:cs="Arial"/>
        </w:rPr>
        <w:t xml:space="preserve">The disabled facilities grant (DFG) is capital funding for the provision of home adaptations to help older and disabled people to live as independently and safely as possible in their homes. This year the DFG allocation from the department for levelling up, housing &amp; communities has remained the same as last year at £16.715m and has been fully passported to district councils to distribute. </w:t>
      </w:r>
    </w:p>
    <w:p w14:paraId="6953FB5F" w14:textId="77777777" w:rsidR="00381CAD" w:rsidRPr="00381CAD" w:rsidRDefault="00381CAD" w:rsidP="00381CAD">
      <w:pPr>
        <w:spacing w:after="0"/>
        <w:rPr>
          <w:rFonts w:cs="Arial"/>
        </w:rPr>
      </w:pPr>
    </w:p>
    <w:p w14:paraId="55DF480C" w14:textId="77777777" w:rsidR="00381CAD" w:rsidRPr="00381CAD" w:rsidRDefault="00381CAD" w:rsidP="00381CAD">
      <w:pPr>
        <w:spacing w:after="0"/>
        <w:rPr>
          <w:rFonts w:cs="Arial"/>
        </w:rPr>
      </w:pPr>
      <w:r w:rsidRPr="00381CAD">
        <w:rPr>
          <w:rFonts w:cs="Arial"/>
        </w:rPr>
        <w:t xml:space="preserve">The extra care grant allocation for Preston was designed to contribute to new independent living homes specifically for people over the age of 55 with varying care needs. The legal agreement with the developer was due to be executed in 2021/22 however due to delays in the legal process it is now expected that the contribution £0.540m will be finalised in this financial year subject to the developer providing the necessary evidence to support the grant claim. </w:t>
      </w:r>
    </w:p>
    <w:p w14:paraId="71DBDAB5" w14:textId="77777777" w:rsidR="00381CAD" w:rsidRPr="00381CAD" w:rsidRDefault="00381CAD" w:rsidP="00381CAD">
      <w:pPr>
        <w:spacing w:after="0"/>
        <w:rPr>
          <w:rFonts w:cs="Arial"/>
          <w:b/>
          <w:highlight w:val="yellow"/>
        </w:rPr>
      </w:pPr>
      <w:bookmarkStart w:id="3" w:name="_Hlk77248102"/>
    </w:p>
    <w:p w14:paraId="1A62569B" w14:textId="77777777" w:rsidR="00381CAD" w:rsidRPr="00381CAD" w:rsidRDefault="00381CAD" w:rsidP="00381CAD">
      <w:pPr>
        <w:spacing w:after="0"/>
        <w:rPr>
          <w:rFonts w:cs="Arial"/>
          <w:b/>
        </w:rPr>
      </w:pPr>
      <w:r w:rsidRPr="00381CAD">
        <w:rPr>
          <w:rFonts w:cs="Arial"/>
          <w:b/>
        </w:rPr>
        <w:t>Corporate – Property</w:t>
      </w:r>
    </w:p>
    <w:p w14:paraId="49A12DBB" w14:textId="77777777" w:rsidR="00381CAD" w:rsidRPr="00381CAD" w:rsidRDefault="00381CAD" w:rsidP="00381CAD">
      <w:pPr>
        <w:spacing w:after="0"/>
        <w:rPr>
          <w:rFonts w:cs="Arial"/>
          <w:b/>
        </w:rPr>
      </w:pPr>
      <w:r w:rsidRPr="00381CAD">
        <w:rPr>
          <w:rFonts w:cs="Arial"/>
          <w:b/>
        </w:rPr>
        <w:t>The corporate property capital programme has a 2022/23 delivery plan of £22.285m.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£9.230m, a variance of -£13.055m. </w:t>
      </w:r>
    </w:p>
    <w:p w14:paraId="47644C54" w14:textId="77777777" w:rsidR="00381CAD" w:rsidRPr="00381CAD" w:rsidRDefault="00381CAD" w:rsidP="00381CAD">
      <w:pPr>
        <w:spacing w:after="0"/>
        <w:rPr>
          <w:rFonts w:cs="Arial"/>
          <w:bCs/>
          <w:highlight w:val="yellow"/>
        </w:rPr>
      </w:pPr>
    </w:p>
    <w:p w14:paraId="6DD113D8" w14:textId="77777777" w:rsidR="00381CAD" w:rsidRPr="00381CAD" w:rsidRDefault="00381CAD" w:rsidP="00381CAD">
      <w:pPr>
        <w:spacing w:after="0"/>
        <w:rPr>
          <w:rFonts w:cs="Arial"/>
          <w:bCs/>
        </w:rPr>
      </w:pPr>
      <w:r w:rsidRPr="00381CAD">
        <w:rPr>
          <w:rFonts w:cs="Arial"/>
          <w:bCs/>
        </w:rPr>
        <w:t>The new rolling program of operational buildings repairs and maintenance of £44.670m over the next three years will now begin in 2023/24 to allow the adequate allocation of staff resources and a structured agenda of inspections. The £14.670m planned for 2022/23 will be rolled forward to meet these assessment costs and any remedial condition work that is highlighted through the procedure.</w:t>
      </w:r>
    </w:p>
    <w:p w14:paraId="08F343CD" w14:textId="77777777" w:rsidR="00381CAD" w:rsidRPr="00381CAD" w:rsidRDefault="00381CAD" w:rsidP="00381CAD">
      <w:pPr>
        <w:spacing w:after="0"/>
        <w:rPr>
          <w:rFonts w:cs="Arial"/>
          <w:bCs/>
          <w:highlight w:val="yellow"/>
        </w:rPr>
      </w:pPr>
    </w:p>
    <w:p w14:paraId="777CCC89" w14:textId="77777777" w:rsidR="00381CAD" w:rsidRPr="00381CAD" w:rsidRDefault="00381CAD" w:rsidP="00381CAD">
      <w:pPr>
        <w:spacing w:after="0"/>
        <w:rPr>
          <w:rFonts w:cs="Arial"/>
          <w:bCs/>
        </w:rPr>
      </w:pPr>
      <w:bookmarkStart w:id="4" w:name="_Hlk116545054"/>
      <w:r w:rsidRPr="00381CAD">
        <w:rPr>
          <w:rFonts w:cs="Arial"/>
          <w:bCs/>
        </w:rPr>
        <w:t xml:space="preserve">The project to replace </w:t>
      </w:r>
      <w:proofErr w:type="spellStart"/>
      <w:r w:rsidRPr="00381CAD">
        <w:rPr>
          <w:rFonts w:cs="Arial"/>
          <w:bCs/>
        </w:rPr>
        <w:t>Bowgreave</w:t>
      </w:r>
      <w:proofErr w:type="spellEnd"/>
      <w:r w:rsidRPr="00381CAD">
        <w:rPr>
          <w:rFonts w:cs="Arial"/>
          <w:bCs/>
        </w:rPr>
        <w:t xml:space="preserve"> Rise residential care home to increase affordable extra care schemes for older people in addition to supported housing apartments for younger adults with disabilities has increased its in year forecast to £5.500m in 2022/23 causing an additional in year delivery variance of £3.000m.  This represents advanced delivery </w:t>
      </w:r>
      <w:proofErr w:type="gramStart"/>
      <w:r w:rsidRPr="00381CAD">
        <w:rPr>
          <w:rFonts w:cs="Arial"/>
          <w:bCs/>
        </w:rPr>
        <w:t>in  2022</w:t>
      </w:r>
      <w:proofErr w:type="gramEnd"/>
      <w:r w:rsidRPr="00381CAD">
        <w:rPr>
          <w:rFonts w:cs="Arial"/>
          <w:bCs/>
        </w:rPr>
        <w:t xml:space="preserve">/23 from that originally bult into the delivery plan in June with the forecast brought forward form the 2023/24 profile.  Previous cabinet reports had increased the overall budget on the project to £7.8m with completion still expected </w:t>
      </w:r>
      <w:proofErr w:type="gramStart"/>
      <w:r w:rsidRPr="00381CAD">
        <w:rPr>
          <w:rFonts w:cs="Arial"/>
          <w:bCs/>
        </w:rPr>
        <w:t>in  2023</w:t>
      </w:r>
      <w:proofErr w:type="gramEnd"/>
      <w:r w:rsidRPr="00381CAD">
        <w:rPr>
          <w:rFonts w:cs="Arial"/>
          <w:bCs/>
        </w:rPr>
        <w:t xml:space="preserve">/24.  </w:t>
      </w:r>
    </w:p>
    <w:p w14:paraId="09BFA566" w14:textId="77777777" w:rsidR="00381CAD" w:rsidRPr="00381CAD" w:rsidRDefault="00381CAD" w:rsidP="00381CAD">
      <w:pPr>
        <w:spacing w:after="0"/>
        <w:rPr>
          <w:rFonts w:cs="Arial"/>
          <w:bCs/>
        </w:rPr>
      </w:pPr>
    </w:p>
    <w:p w14:paraId="1838F6D3" w14:textId="77777777" w:rsidR="00381CAD" w:rsidRPr="00381CAD" w:rsidRDefault="00381CAD" w:rsidP="00381CAD">
      <w:pPr>
        <w:spacing w:after="0"/>
        <w:rPr>
          <w:rFonts w:cs="Arial"/>
          <w:bCs/>
        </w:rPr>
      </w:pPr>
    </w:p>
    <w:p w14:paraId="5C61BC0A" w14:textId="77777777" w:rsidR="00381CAD" w:rsidRPr="00381CAD" w:rsidRDefault="00381CAD" w:rsidP="00381CAD">
      <w:pPr>
        <w:spacing w:after="0"/>
        <w:rPr>
          <w:rFonts w:cs="Arial"/>
          <w:bCs/>
          <w:highlight w:val="green"/>
        </w:rPr>
      </w:pPr>
      <w:r w:rsidRPr="00381CAD">
        <w:rPr>
          <w:rFonts w:cs="Arial"/>
          <w:bCs/>
        </w:rPr>
        <w:t>The programme to install electric vehicle charging points at county council sites where the vehicles either reside or visit was agreed with a budget of £1.000m from the creation of a reserve at the 2020/21 financial year end. The scheme is currently forecasting slipped delivery of -£0.016m but there is potential for additional delivery as tenders are already agreed for some locations.</w:t>
      </w:r>
      <w:r w:rsidRPr="00381CAD">
        <w:rPr>
          <w:rFonts w:cs="Arial"/>
          <w:bCs/>
          <w:highlight w:val="yellow"/>
        </w:rPr>
        <w:t xml:space="preserve"> </w:t>
      </w:r>
    </w:p>
    <w:p w14:paraId="2C77BF19" w14:textId="77777777" w:rsidR="00381CAD" w:rsidRPr="00381CAD" w:rsidRDefault="00381CAD" w:rsidP="00381CAD">
      <w:pPr>
        <w:spacing w:after="0"/>
        <w:rPr>
          <w:rFonts w:cs="Arial"/>
          <w:bCs/>
          <w:highlight w:val="yellow"/>
        </w:rPr>
      </w:pPr>
    </w:p>
    <w:p w14:paraId="08EAF867" w14:textId="77777777" w:rsidR="00381CAD" w:rsidRPr="00381CAD" w:rsidRDefault="00381CAD" w:rsidP="00381CAD">
      <w:pPr>
        <w:spacing w:after="0"/>
        <w:rPr>
          <w:rFonts w:cs="Arial"/>
          <w:bCs/>
        </w:rPr>
      </w:pPr>
      <w:r w:rsidRPr="00381CAD">
        <w:rPr>
          <w:rFonts w:cs="Arial"/>
          <w:bCs/>
        </w:rPr>
        <w:lastRenderedPageBreak/>
        <w:t xml:space="preserve">The department for education’s (DfE) new capital funding programme will support LCC service delivery through the establishment </w:t>
      </w:r>
      <w:proofErr w:type="gramStart"/>
      <w:r w:rsidRPr="00381CAD">
        <w:rPr>
          <w:rFonts w:cs="Arial"/>
          <w:bCs/>
        </w:rPr>
        <w:t>of  new</w:t>
      </w:r>
      <w:proofErr w:type="gramEnd"/>
      <w:r w:rsidRPr="00381CAD">
        <w:rPr>
          <w:rFonts w:cs="Arial"/>
          <w:bCs/>
        </w:rPr>
        <w:t xml:space="preserve"> children’s homes via refurbishment or new builds. The programme has now begun with the identification of the initial 4 sites, although delays in access to the buildings to complete the necessary surveys will see forecast slipped delivery in year of -£0.707m with some of the work now completed in 2023/24.</w:t>
      </w:r>
    </w:p>
    <w:p w14:paraId="3948447C" w14:textId="77777777" w:rsidR="00381CAD" w:rsidRPr="00381CAD" w:rsidRDefault="00381CAD" w:rsidP="00381CAD">
      <w:pPr>
        <w:spacing w:after="0"/>
        <w:rPr>
          <w:rFonts w:cs="Arial"/>
          <w:bCs/>
        </w:rPr>
      </w:pPr>
    </w:p>
    <w:p w14:paraId="24782450" w14:textId="77777777" w:rsidR="00381CAD" w:rsidRPr="00381CAD" w:rsidRDefault="00381CAD" w:rsidP="00381CAD">
      <w:pPr>
        <w:spacing w:after="0"/>
        <w:rPr>
          <w:rFonts w:cs="Arial"/>
          <w:bCs/>
        </w:rPr>
      </w:pPr>
      <w:r w:rsidRPr="00381CAD">
        <w:rPr>
          <w:rFonts w:cs="Arial"/>
          <w:bCs/>
        </w:rPr>
        <w:t xml:space="preserve">The delivery plan for the programme of works to </w:t>
      </w:r>
      <w:proofErr w:type="gramStart"/>
      <w:r w:rsidRPr="00381CAD">
        <w:rPr>
          <w:rFonts w:cs="Arial"/>
          <w:bCs/>
        </w:rPr>
        <w:t>various  operational</w:t>
      </w:r>
      <w:proofErr w:type="gramEnd"/>
      <w:r w:rsidRPr="00381CAD">
        <w:rPr>
          <w:rFonts w:cs="Arial"/>
          <w:bCs/>
        </w:rPr>
        <w:t xml:space="preserve"> premises (</w:t>
      </w:r>
      <w:proofErr w:type="spellStart"/>
      <w:r w:rsidRPr="00381CAD">
        <w:rPr>
          <w:rFonts w:cs="Arial"/>
          <w:bCs/>
        </w:rPr>
        <w:t>WtOP</w:t>
      </w:r>
      <w:proofErr w:type="spellEnd"/>
      <w:r w:rsidRPr="00381CAD">
        <w:rPr>
          <w:rFonts w:cs="Arial"/>
          <w:bCs/>
        </w:rPr>
        <w:t>) was set at £0.956m with 20 projects forecast to be worked on in the year. Of the major schemes the work to replace the boiler in Lancaster Central Library in conjunction with Lancaster City Council have been given approval by their conservation team and has already utilised £0.065m of the £0.106m agreed with the remaining expected to be required this financial year. Overall, the forecast variance for the programme is -£0.245m with potential savings of -£0.153m and projects slipping to next year of -£0.220m offset by additional delivery on projects ahead of schedule of £0.128m.</w:t>
      </w:r>
    </w:p>
    <w:p w14:paraId="3015CDAE" w14:textId="77777777" w:rsidR="00381CAD" w:rsidRPr="00381CAD" w:rsidRDefault="00381CAD" w:rsidP="00381CAD">
      <w:pPr>
        <w:spacing w:after="0"/>
        <w:rPr>
          <w:rFonts w:cs="Arial"/>
          <w:bCs/>
          <w:highlight w:val="yellow"/>
        </w:rPr>
      </w:pPr>
    </w:p>
    <w:p w14:paraId="4F806407" w14:textId="77777777" w:rsidR="00381CAD" w:rsidRPr="00381CAD" w:rsidRDefault="00381CAD" w:rsidP="00381CAD">
      <w:pPr>
        <w:spacing w:after="0"/>
        <w:rPr>
          <w:rFonts w:cs="Arial"/>
          <w:bCs/>
        </w:rPr>
      </w:pPr>
      <w:r w:rsidRPr="00381CAD">
        <w:rPr>
          <w:rFonts w:cs="Arial"/>
          <w:bCs/>
        </w:rPr>
        <w:t xml:space="preserve">The delivery plan for the building condition programme was agreed at £1.661m for 2022/23 initially covering 51 active projects. The larger projects include the re-roofing of the Leyland neighbourhood centre completed just under budget. The work on replacing both Data Centre UPS Units is finalised with installation successfully completed and now operational, forecast to use the full £0.89m previously forecast. Damp Repairs to the Basement at County Hall are now at the defects stage spending £0.055m in 2022/23 a modest saving that will be returned to the programme. </w:t>
      </w:r>
      <w:bookmarkEnd w:id="3"/>
      <w:bookmarkEnd w:id="4"/>
      <w:r w:rsidRPr="00381CAD">
        <w:rPr>
          <w:rFonts w:cs="Arial"/>
          <w:bCs/>
        </w:rPr>
        <w:t>Overall, the forecast variance for the programme is -£0.352m; -£0.227m of forecast slipped delivery, £0.077m of additional delivery and -£0.083m of potential savings forecast.</w:t>
      </w:r>
    </w:p>
    <w:p w14:paraId="0B8A35E4" w14:textId="77777777" w:rsidR="00381CAD" w:rsidRPr="00381CAD" w:rsidRDefault="00381CAD" w:rsidP="00381CAD">
      <w:pPr>
        <w:spacing w:after="0"/>
      </w:pPr>
    </w:p>
    <w:p w14:paraId="50421B08" w14:textId="77777777" w:rsidR="00381CAD" w:rsidRPr="00381CAD" w:rsidRDefault="00381CAD" w:rsidP="00381CAD">
      <w:pPr>
        <w:spacing w:after="0"/>
        <w:rPr>
          <w:rFonts w:cs="Arial"/>
          <w:b/>
          <w:bCs/>
        </w:rPr>
      </w:pPr>
      <w:r w:rsidRPr="00381CAD">
        <w:rPr>
          <w:rFonts w:cs="Arial"/>
          <w:b/>
          <w:bCs/>
        </w:rPr>
        <w:t>Economic Development</w:t>
      </w:r>
    </w:p>
    <w:p w14:paraId="1313EC62" w14:textId="77777777" w:rsidR="00381CAD" w:rsidRPr="00381CAD" w:rsidRDefault="00381CAD" w:rsidP="00381CAD">
      <w:pPr>
        <w:spacing w:after="0"/>
        <w:rPr>
          <w:rFonts w:cs="Arial"/>
          <w:b/>
        </w:rPr>
      </w:pPr>
    </w:p>
    <w:p w14:paraId="7E602358" w14:textId="77777777" w:rsidR="00381CAD" w:rsidRPr="00381CAD" w:rsidRDefault="00381CAD" w:rsidP="00381CAD">
      <w:pPr>
        <w:spacing w:after="0"/>
        <w:rPr>
          <w:rFonts w:cs="Arial"/>
          <w:b/>
        </w:rPr>
      </w:pPr>
      <w:r w:rsidRPr="00381CAD">
        <w:rPr>
          <w:rFonts w:cs="Arial"/>
          <w:b/>
        </w:rPr>
        <w:t>The economic development capital programme has a 2022/23 delivery plan of £41.567m.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£13.138m, a variance of -£28.429m. </w:t>
      </w:r>
    </w:p>
    <w:p w14:paraId="4938EC91" w14:textId="77777777" w:rsidR="00381CAD" w:rsidRPr="00381CAD" w:rsidRDefault="00381CAD" w:rsidP="00381CAD">
      <w:pPr>
        <w:spacing w:after="0"/>
        <w:rPr>
          <w:rFonts w:cs="Arial"/>
          <w:b/>
        </w:rPr>
      </w:pPr>
    </w:p>
    <w:p w14:paraId="27D84B6C" w14:textId="77777777" w:rsidR="00381CAD" w:rsidRPr="00381CAD" w:rsidRDefault="00381CAD" w:rsidP="00381CAD">
      <w:pPr>
        <w:spacing w:after="0"/>
        <w:rPr>
          <w:rFonts w:cs="Arial"/>
          <w:bCs/>
        </w:rPr>
      </w:pPr>
      <w:bookmarkStart w:id="5" w:name="_Hlk116545354"/>
      <w:r w:rsidRPr="00381CAD">
        <w:rPr>
          <w:rFonts w:cs="Arial"/>
          <w:bCs/>
        </w:rPr>
        <w:t xml:space="preserve">The new programme based at Farrington in conjunction with Lancashire Cricket Club, will create a new year-round sports facility for Lancashire. In addition to </w:t>
      </w:r>
      <w:proofErr w:type="gramStart"/>
      <w:r w:rsidRPr="00381CAD">
        <w:rPr>
          <w:rFonts w:cs="Arial"/>
          <w:bCs/>
        </w:rPr>
        <w:t>a number of</w:t>
      </w:r>
      <w:proofErr w:type="gramEnd"/>
      <w:r w:rsidRPr="00381CAD">
        <w:rPr>
          <w:rFonts w:cs="Arial"/>
          <w:bCs/>
        </w:rPr>
        <w:t xml:space="preserve"> County level matches the site will be a centre of excellence for women’s cricket in the northwest, comprising of two full-sized cricket pitches, training facilities, nets, a new pavilion including a gym, changing rooms, hospitality space, as well as cycle and car parking. A budget of £7.000m was approved for this year, however a slippage variance of -£6.000m is forecast as the main volume of works in now expected to be done in 2023/24.</w:t>
      </w:r>
    </w:p>
    <w:p w14:paraId="2FD2326C" w14:textId="77777777" w:rsidR="00381CAD" w:rsidRPr="00381CAD" w:rsidRDefault="00381CAD" w:rsidP="00381CAD">
      <w:pPr>
        <w:spacing w:after="0"/>
        <w:rPr>
          <w:rFonts w:cs="Arial"/>
          <w:bCs/>
        </w:rPr>
      </w:pPr>
    </w:p>
    <w:p w14:paraId="2DE517F3" w14:textId="77777777" w:rsidR="00381CAD" w:rsidRPr="00381CAD" w:rsidRDefault="00381CAD" w:rsidP="00381CAD">
      <w:pPr>
        <w:spacing w:after="0"/>
        <w:rPr>
          <w:rFonts w:cs="Arial"/>
          <w:bCs/>
        </w:rPr>
      </w:pPr>
      <w:proofErr w:type="spellStart"/>
      <w:r w:rsidRPr="00381CAD">
        <w:rPr>
          <w:rFonts w:cs="Arial"/>
          <w:bCs/>
        </w:rPr>
        <w:t>Samlesbury</w:t>
      </w:r>
      <w:proofErr w:type="spellEnd"/>
      <w:r w:rsidRPr="00381CAD">
        <w:rPr>
          <w:rFonts w:cs="Arial"/>
          <w:bCs/>
        </w:rPr>
        <w:t xml:space="preserve"> enterprise zone, which on completion will be a national centre of excellence for advanced engineering and manufacturing has an agreed in year delivery budget of £26.093m as work on the enabling infrastructure continues.  Groundworks, tree felling, utilities </w:t>
      </w:r>
      <w:proofErr w:type="gramStart"/>
      <w:r w:rsidRPr="00381CAD">
        <w:rPr>
          <w:rFonts w:cs="Arial"/>
          <w:bCs/>
        </w:rPr>
        <w:t>works</w:t>
      </w:r>
      <w:proofErr w:type="gramEnd"/>
      <w:r w:rsidRPr="00381CAD">
        <w:rPr>
          <w:rFonts w:cs="Arial"/>
          <w:bCs/>
        </w:rPr>
        <w:t xml:space="preserve"> and temporary drainage are all forecast to complete in 2022/23 with subsequent construction work to allow specific plot accesses to follow on from these preparations. Work on </w:t>
      </w:r>
      <w:proofErr w:type="gramStart"/>
      <w:r w:rsidRPr="00381CAD">
        <w:rPr>
          <w:rFonts w:cs="Arial"/>
          <w:bCs/>
        </w:rPr>
        <w:t>particular plots</w:t>
      </w:r>
      <w:proofErr w:type="gramEnd"/>
      <w:r w:rsidRPr="00381CAD">
        <w:rPr>
          <w:rFonts w:cs="Arial"/>
          <w:bCs/>
        </w:rPr>
        <w:t xml:space="preserve"> will then commence dependant on current enquiries from potential occupants.  Given the </w:t>
      </w:r>
      <w:r w:rsidRPr="00381CAD">
        <w:rPr>
          <w:rFonts w:cs="Arial"/>
          <w:bCs/>
        </w:rPr>
        <w:lastRenderedPageBreak/>
        <w:t xml:space="preserve">scale of the remaining work it has been considered prudent to expect completion to run into 2023/24 causing a slipped delivery variance of -£21.407m. </w:t>
      </w:r>
    </w:p>
    <w:p w14:paraId="48D4A064" w14:textId="77777777" w:rsidR="00381CAD" w:rsidRPr="00381CAD" w:rsidRDefault="00381CAD" w:rsidP="00381CAD">
      <w:pPr>
        <w:spacing w:after="0"/>
        <w:rPr>
          <w:rFonts w:cs="Arial"/>
          <w:bCs/>
        </w:rPr>
      </w:pPr>
      <w:r w:rsidRPr="00381CAD">
        <w:rPr>
          <w:rFonts w:cs="Arial"/>
          <w:bCs/>
        </w:rPr>
        <w:t xml:space="preserve"> </w:t>
      </w:r>
    </w:p>
    <w:p w14:paraId="2019F160" w14:textId="77777777" w:rsidR="00381CAD" w:rsidRPr="00381CAD" w:rsidRDefault="00381CAD" w:rsidP="00381CAD">
      <w:pPr>
        <w:spacing w:after="0"/>
        <w:rPr>
          <w:rFonts w:cs="Arial"/>
          <w:bCs/>
        </w:rPr>
      </w:pPr>
      <w:r w:rsidRPr="00381CAD">
        <w:rPr>
          <w:rFonts w:cs="Arial"/>
          <w:bCs/>
        </w:rPr>
        <w:t xml:space="preserve">A contribution to the Brierfield Mill scheme, which has created offices, apartments, and leisure schemes in the redeveloped site, has been approved and the remaining funding of £0.407m is forecast to be paid over in 2022/23. The annual support to the City Deal of £1.295m from the Economic Development Programme has already been made and the contribution to the Eden North project of the current remaining budget of £0.231m is also forecast for 2022/23. The £1.5m funding contribution towards the expansion of the </w:t>
      </w:r>
      <w:proofErr w:type="spellStart"/>
      <w:r w:rsidRPr="00381CAD">
        <w:rPr>
          <w:rFonts w:cs="Arial"/>
          <w:bCs/>
        </w:rPr>
        <w:t>Lomeshaye</w:t>
      </w:r>
      <w:proofErr w:type="spellEnd"/>
      <w:r w:rsidRPr="00381CAD">
        <w:rPr>
          <w:rFonts w:cs="Arial"/>
          <w:bCs/>
        </w:rPr>
        <w:t xml:space="preserve"> industrial estate is forecast that £0.500m will be required this year with £1.000m slipping into 2023/24 following delays to the scheme commencement.  t</w:t>
      </w:r>
    </w:p>
    <w:p w14:paraId="1E4DA992" w14:textId="77777777" w:rsidR="00381CAD" w:rsidRPr="00381CAD" w:rsidRDefault="00381CAD" w:rsidP="00381CAD">
      <w:pPr>
        <w:spacing w:after="0"/>
        <w:rPr>
          <w:rFonts w:cs="Arial"/>
          <w:bCs/>
        </w:rPr>
      </w:pPr>
    </w:p>
    <w:p w14:paraId="246F1AA3" w14:textId="77777777" w:rsidR="00381CAD" w:rsidRPr="00381CAD" w:rsidRDefault="00381CAD" w:rsidP="00381CAD">
      <w:pPr>
        <w:spacing w:after="0"/>
        <w:rPr>
          <w:rFonts w:cs="Arial"/>
          <w:bCs/>
        </w:rPr>
      </w:pPr>
      <w:r w:rsidRPr="00381CAD">
        <w:rPr>
          <w:rFonts w:cs="Arial"/>
          <w:bCs/>
        </w:rPr>
        <w:t>The Lancashire Central site at Cuerden in conjunction with development partner Maple Grove have submitted revised plans for the site. Commercial areas of the site are expected to provide almost 2000 new jobs, with opportunities for warehouses and logistics on the site adjacent to motorway links. In addition, 116 additional homes are planned, and the site is to provide environmental infrastructure, based on sustainable initiatives. There is a slippage variance of -£1.051m forecast on the scheme as work is expected to be completed in 2023/24.</w:t>
      </w:r>
    </w:p>
    <w:bookmarkEnd w:id="5"/>
    <w:p w14:paraId="555D9576" w14:textId="77777777" w:rsidR="00381CAD" w:rsidRPr="00381CAD" w:rsidRDefault="00381CAD" w:rsidP="00381CAD">
      <w:pPr>
        <w:spacing w:after="0"/>
        <w:rPr>
          <w:rFonts w:cs="Arial"/>
          <w:b/>
        </w:rPr>
      </w:pPr>
    </w:p>
    <w:p w14:paraId="023BBD31" w14:textId="77777777" w:rsidR="00381CAD" w:rsidRPr="00381CAD" w:rsidRDefault="00381CAD" w:rsidP="00381CAD">
      <w:pPr>
        <w:spacing w:after="0"/>
        <w:rPr>
          <w:rFonts w:cs="Arial"/>
          <w:b/>
          <w:bCs/>
        </w:rPr>
      </w:pPr>
      <w:r w:rsidRPr="00381CAD">
        <w:rPr>
          <w:rFonts w:cs="Arial"/>
          <w:b/>
          <w:bCs/>
        </w:rPr>
        <w:t>South Lancaster Growth Catalyst (SLGC)</w:t>
      </w:r>
    </w:p>
    <w:p w14:paraId="48D5B4CD" w14:textId="77777777" w:rsidR="00381CAD" w:rsidRPr="00381CAD" w:rsidRDefault="00381CAD" w:rsidP="00381CAD">
      <w:pPr>
        <w:spacing w:after="0"/>
        <w:rPr>
          <w:rFonts w:cs="Arial"/>
          <w:b/>
        </w:rPr>
      </w:pPr>
    </w:p>
    <w:p w14:paraId="4985F890" w14:textId="77777777" w:rsidR="00381CAD" w:rsidRPr="00381CAD" w:rsidRDefault="00381CAD" w:rsidP="00381CAD">
      <w:pPr>
        <w:spacing w:after="0"/>
        <w:rPr>
          <w:rFonts w:cs="Arial"/>
          <w:b/>
        </w:rPr>
      </w:pPr>
      <w:r w:rsidRPr="00381CAD">
        <w:rPr>
          <w:rFonts w:cs="Arial"/>
          <w:b/>
        </w:rPr>
        <w:t>The SLGC capital programme has a 2022/23 delivery plan of £4.828m.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£4.828m, a nil variance. </w:t>
      </w:r>
    </w:p>
    <w:p w14:paraId="339D7FDC" w14:textId="77777777" w:rsidR="00381CAD" w:rsidRPr="00381CAD" w:rsidRDefault="00381CAD" w:rsidP="00381CAD">
      <w:pPr>
        <w:spacing w:after="0"/>
        <w:rPr>
          <w:rFonts w:cs="Arial"/>
          <w:b/>
          <w:highlight w:val="yellow"/>
        </w:rPr>
      </w:pPr>
    </w:p>
    <w:p w14:paraId="3C3EE2B4" w14:textId="77777777" w:rsidR="00381CAD" w:rsidRPr="00381CAD" w:rsidRDefault="00381CAD" w:rsidP="00381CAD">
      <w:pPr>
        <w:spacing w:after="0"/>
        <w:rPr>
          <w:rFonts w:cs="Arial"/>
        </w:rPr>
      </w:pPr>
      <w:r w:rsidRPr="00381CAD">
        <w:rPr>
          <w:rFonts w:cs="Arial"/>
        </w:rPr>
        <w:t xml:space="preserve">The SLGC programme is a programme of works to support housing delivery in south </w:t>
      </w:r>
      <w:proofErr w:type="gramStart"/>
      <w:r w:rsidRPr="00381CAD">
        <w:rPr>
          <w:rFonts w:cs="Arial"/>
        </w:rPr>
        <w:t>Lancaster, and</w:t>
      </w:r>
      <w:proofErr w:type="gramEnd"/>
      <w:r w:rsidRPr="00381CAD">
        <w:rPr>
          <w:rFonts w:cs="Arial"/>
        </w:rPr>
        <w:t xml:space="preserve"> was the result of a successful joint bid by Lancashire County Council and Lancaster City Council to Homes England's Housing Infrastructure fund (HIF).  Work is underway to design the major highways infrastructure that forms the part of the bid funded by the Housing Infrastructure Fund grant, and discussions are underway on the detailed workings required with the district </w:t>
      </w:r>
      <w:proofErr w:type="gramStart"/>
      <w:r w:rsidRPr="00381CAD">
        <w:rPr>
          <w:rFonts w:cs="Arial"/>
        </w:rPr>
        <w:t>council  to</w:t>
      </w:r>
      <w:proofErr w:type="gramEnd"/>
      <w:r w:rsidRPr="00381CAD">
        <w:rPr>
          <w:rFonts w:cs="Arial"/>
        </w:rPr>
        <w:t xml:space="preserve"> facilitate the delivery of the locally funded schemes. Together these form the overall bid programme and are subject to a collaboration agreement between the two councils.  Once the detailed workings are agreed this will allow the profiling of funding for the local schemes to be commenced which are currently paused due to risks of repayment of the cash flow facility within the collaboration agreement.  </w:t>
      </w:r>
    </w:p>
    <w:p w14:paraId="538BEDAE" w14:textId="77777777" w:rsidR="00381CAD" w:rsidRPr="00381CAD" w:rsidRDefault="00381CAD" w:rsidP="00381CAD">
      <w:pPr>
        <w:spacing w:after="0"/>
        <w:rPr>
          <w:rFonts w:cs="Arial"/>
          <w:b/>
          <w:highlight w:val="yellow"/>
        </w:rPr>
      </w:pPr>
    </w:p>
    <w:p w14:paraId="3A2A0155" w14:textId="77777777" w:rsidR="00381CAD" w:rsidRPr="00381CAD" w:rsidRDefault="00381CAD" w:rsidP="00381CAD">
      <w:pPr>
        <w:spacing w:after="0"/>
        <w:rPr>
          <w:rFonts w:cs="Arial"/>
          <w:b/>
          <w:bCs/>
        </w:rPr>
      </w:pPr>
      <w:r w:rsidRPr="00381CAD">
        <w:rPr>
          <w:rFonts w:cs="Arial"/>
          <w:b/>
          <w:bCs/>
        </w:rPr>
        <w:t>Vehicles</w:t>
      </w:r>
    </w:p>
    <w:p w14:paraId="7881DA8A" w14:textId="77777777" w:rsidR="00381CAD" w:rsidRPr="00381CAD" w:rsidRDefault="00381CAD" w:rsidP="00381CAD">
      <w:pPr>
        <w:spacing w:after="0"/>
        <w:rPr>
          <w:rFonts w:cs="Arial"/>
          <w:b/>
        </w:rPr>
      </w:pPr>
    </w:p>
    <w:p w14:paraId="28A9D6F9" w14:textId="77777777" w:rsidR="00381CAD" w:rsidRPr="00381CAD" w:rsidRDefault="00381CAD" w:rsidP="00381CAD">
      <w:pPr>
        <w:spacing w:after="0"/>
        <w:rPr>
          <w:rFonts w:cs="Arial"/>
          <w:b/>
        </w:rPr>
      </w:pPr>
      <w:r w:rsidRPr="00381CAD">
        <w:rPr>
          <w:rFonts w:cs="Arial"/>
          <w:b/>
        </w:rPr>
        <w:t>The vehicles capital programme has a 2022/23 delivery plan of £4.212m.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£4.212m, a nil variance </w:t>
      </w:r>
    </w:p>
    <w:p w14:paraId="16A8C53C" w14:textId="77777777" w:rsidR="00381CAD" w:rsidRPr="00381CAD" w:rsidRDefault="00381CAD" w:rsidP="00381CAD">
      <w:pPr>
        <w:spacing w:after="0"/>
        <w:rPr>
          <w:rFonts w:cs="Arial"/>
          <w:bCs/>
          <w:highlight w:val="yellow"/>
        </w:rPr>
      </w:pPr>
    </w:p>
    <w:p w14:paraId="63A339CE" w14:textId="77777777" w:rsidR="00381CAD" w:rsidRPr="00381CAD" w:rsidRDefault="00381CAD" w:rsidP="00381CAD">
      <w:pPr>
        <w:spacing w:after="0"/>
        <w:rPr>
          <w:rFonts w:cs="Arial"/>
          <w:bCs/>
        </w:rPr>
      </w:pPr>
      <w:r w:rsidRPr="00381CAD">
        <w:rPr>
          <w:rFonts w:cs="Arial"/>
          <w:bCs/>
        </w:rPr>
        <w:t xml:space="preserve">The delivery plan includes prior year projects of £0.999m comprising of thirteen vans, including one covid vaccine van and one fully electric van. There are also three trucks, one mobile library and twelve electric estate cars. These vehicles are now planned to be delivered during 2022/23 after delivery slipped from prior years.  </w:t>
      </w:r>
    </w:p>
    <w:p w14:paraId="07ED77B8" w14:textId="77777777" w:rsidR="00381CAD" w:rsidRPr="00381CAD" w:rsidRDefault="00381CAD" w:rsidP="00381CAD">
      <w:pPr>
        <w:spacing w:after="0"/>
        <w:rPr>
          <w:rFonts w:cs="Arial"/>
          <w:bCs/>
        </w:rPr>
      </w:pPr>
    </w:p>
    <w:p w14:paraId="3C168631" w14:textId="77777777" w:rsidR="00381CAD" w:rsidRPr="00381CAD" w:rsidRDefault="00381CAD" w:rsidP="00381CAD">
      <w:pPr>
        <w:spacing w:after="0"/>
        <w:rPr>
          <w:rFonts w:cs="Arial"/>
          <w:bCs/>
        </w:rPr>
      </w:pPr>
      <w:r w:rsidRPr="00381CAD">
        <w:rPr>
          <w:rFonts w:cs="Arial"/>
          <w:bCs/>
        </w:rPr>
        <w:t xml:space="preserve">This financial year planned delivery of large value vehicles consists of 34 vans totalling £0.690m, 13 minibuses £0.499m, 7 telehandlers £0.481m, 2 wheeled </w:t>
      </w:r>
      <w:r w:rsidRPr="00381CAD">
        <w:rPr>
          <w:rFonts w:cs="Arial"/>
          <w:bCs/>
        </w:rPr>
        <w:lastRenderedPageBreak/>
        <w:t xml:space="preserve">loaders £0.384, 5 telescopic platform vehicles £0.366 and 1 gritter costing c£0.300m. The remainder of this year's delivery plan is made up of two salt spreading vehicles, four mini excavators, three tippers, one mini tractor, one flail collector, two ploughs and eleven trailers. </w:t>
      </w:r>
    </w:p>
    <w:p w14:paraId="4726D00E" w14:textId="77777777" w:rsidR="00381CAD" w:rsidRPr="00381CAD" w:rsidRDefault="00381CAD" w:rsidP="00381CAD">
      <w:pPr>
        <w:spacing w:after="0"/>
        <w:rPr>
          <w:rFonts w:cs="Arial"/>
          <w:bCs/>
        </w:rPr>
      </w:pPr>
    </w:p>
    <w:p w14:paraId="37088327" w14:textId="77777777" w:rsidR="00381CAD" w:rsidRPr="00381CAD" w:rsidRDefault="00381CAD" w:rsidP="00381CAD">
      <w:pPr>
        <w:spacing w:after="0"/>
        <w:rPr>
          <w:rFonts w:cs="Arial"/>
          <w:bCs/>
        </w:rPr>
      </w:pPr>
      <w:r w:rsidRPr="00381CAD">
        <w:rPr>
          <w:rFonts w:cs="Arial"/>
          <w:bCs/>
        </w:rPr>
        <w:t xml:space="preserve">The main risk to the delivery of these vehicles in the current year is supply risks due to ongoing supply issues and parts shortages which could be further affected by the current situation in Ukraine. There are also the potential further risks surrounding possible fuel/energy supply issues on the horizon.  </w:t>
      </w:r>
    </w:p>
    <w:p w14:paraId="5C9C2F61" w14:textId="77777777" w:rsidR="00381CAD" w:rsidRPr="00381CAD" w:rsidRDefault="00381CAD" w:rsidP="00381CAD">
      <w:pPr>
        <w:spacing w:after="0"/>
        <w:rPr>
          <w:rFonts w:cs="Arial"/>
          <w:bCs/>
          <w:highlight w:val="yellow"/>
        </w:rPr>
      </w:pPr>
    </w:p>
    <w:p w14:paraId="6ED28FA0" w14:textId="77777777" w:rsidR="00381CAD" w:rsidRPr="00381CAD" w:rsidRDefault="00381CAD" w:rsidP="00381CAD">
      <w:pPr>
        <w:spacing w:after="0"/>
        <w:rPr>
          <w:rFonts w:cs="Arial"/>
          <w:b/>
          <w:bCs/>
        </w:rPr>
      </w:pPr>
      <w:r w:rsidRPr="00381CAD">
        <w:rPr>
          <w:rFonts w:cs="Arial"/>
          <w:b/>
          <w:bCs/>
        </w:rPr>
        <w:t>Transforming Cities Fund (TCF)</w:t>
      </w:r>
    </w:p>
    <w:p w14:paraId="1EDCE2D7" w14:textId="77777777" w:rsidR="00381CAD" w:rsidRPr="00381CAD" w:rsidRDefault="00381CAD" w:rsidP="00381CAD">
      <w:pPr>
        <w:spacing w:after="0"/>
        <w:rPr>
          <w:rFonts w:cs="Arial"/>
          <w:b/>
        </w:rPr>
      </w:pPr>
    </w:p>
    <w:p w14:paraId="1AF7135F" w14:textId="77777777" w:rsidR="00381CAD" w:rsidRPr="00381CAD" w:rsidRDefault="00381CAD" w:rsidP="00381CAD">
      <w:pPr>
        <w:spacing w:after="0"/>
        <w:rPr>
          <w:rFonts w:cs="Arial"/>
          <w:b/>
        </w:rPr>
      </w:pPr>
      <w:r w:rsidRPr="00381CAD">
        <w:rPr>
          <w:rFonts w:cs="Arial"/>
          <w:b/>
        </w:rPr>
        <w:t>The TCF capital programme has a 2022/23 delivery plan of £15.250m.</w:t>
      </w:r>
      <w:r w:rsidRPr="00381CAD">
        <w:rPr>
          <w:rFonts w:cs="Arial"/>
          <w:b/>
          <w:color w:val="FF0000"/>
        </w:rPr>
        <w:t xml:space="preserve"> </w:t>
      </w:r>
      <w:r w:rsidRPr="00381CAD">
        <w:rPr>
          <w:rFonts w:cs="Arial"/>
          <w:b/>
        </w:rPr>
        <w:t xml:space="preserve">Forecast outturn as </w:t>
      </w:r>
      <w:proofErr w:type="gramStart"/>
      <w:r w:rsidRPr="00381CAD">
        <w:rPr>
          <w:rFonts w:cs="Arial"/>
          <w:b/>
        </w:rPr>
        <w:t>at</w:t>
      </w:r>
      <w:proofErr w:type="gramEnd"/>
      <w:r w:rsidRPr="00381CAD">
        <w:rPr>
          <w:rFonts w:cs="Arial"/>
          <w:b/>
        </w:rPr>
        <w:t xml:space="preserve"> September 2022 is £11.500m, a variance of -£3.750m. </w:t>
      </w:r>
    </w:p>
    <w:p w14:paraId="13AEDF02" w14:textId="77777777" w:rsidR="00381CAD" w:rsidRPr="00381CAD" w:rsidRDefault="00381CAD" w:rsidP="00381CAD">
      <w:pPr>
        <w:spacing w:after="0"/>
        <w:rPr>
          <w:rFonts w:cs="Arial"/>
          <w:bCs/>
          <w:highlight w:val="yellow"/>
        </w:rPr>
      </w:pPr>
    </w:p>
    <w:p w14:paraId="36AE0BBF" w14:textId="77777777" w:rsidR="00381CAD" w:rsidRPr="00381CAD" w:rsidRDefault="00381CAD" w:rsidP="00381CAD">
      <w:pPr>
        <w:spacing w:after="0"/>
        <w:rPr>
          <w:rFonts w:cs="Arial"/>
          <w:bCs/>
        </w:rPr>
      </w:pPr>
      <w:r w:rsidRPr="00381CAD">
        <w:rPr>
          <w:rFonts w:cs="Arial"/>
          <w:bCs/>
        </w:rPr>
        <w:t xml:space="preserve">In June 2020, Lancashire County Council had its revised proposal for TCF investment in the Preston city region approved, with a schedule of works lasting until 2023/24. Following a formal change request to the Department for Transport in November 2021 it was agreed (in April 2022) to extend the overall programme end date to 2024/25.  The delivery plan for 2022/23 is £15.250m with the majority of spend expected on the Transforming Ringway project, which is in construction. This project was due to be completed at the end of March </w:t>
      </w:r>
      <w:proofErr w:type="gramStart"/>
      <w:r w:rsidRPr="00381CAD">
        <w:rPr>
          <w:rFonts w:cs="Arial"/>
          <w:bCs/>
        </w:rPr>
        <w:t>2023</w:t>
      </w:r>
      <w:proofErr w:type="gramEnd"/>
      <w:r w:rsidRPr="00381CAD">
        <w:rPr>
          <w:rFonts w:cs="Arial"/>
          <w:bCs/>
        </w:rPr>
        <w:t xml:space="preserve"> but the latest programme review has identified that this is likely to slip to June 2023 due to the long lead in times for receipt of some materials. </w:t>
      </w:r>
    </w:p>
    <w:p w14:paraId="4E0564D2" w14:textId="77777777" w:rsidR="00381CAD" w:rsidRPr="00381CAD" w:rsidRDefault="00381CAD" w:rsidP="00381CAD">
      <w:pPr>
        <w:spacing w:after="0"/>
        <w:rPr>
          <w:rFonts w:cs="Arial"/>
          <w:bCs/>
        </w:rPr>
      </w:pPr>
    </w:p>
    <w:p w14:paraId="3FF99C3D" w14:textId="77777777" w:rsidR="00381CAD" w:rsidRPr="00381CAD" w:rsidRDefault="00381CAD" w:rsidP="00381CAD">
      <w:pPr>
        <w:spacing w:after="0"/>
        <w:rPr>
          <w:rFonts w:cs="Arial"/>
          <w:bCs/>
        </w:rPr>
      </w:pPr>
      <w:r w:rsidRPr="00381CAD">
        <w:rPr>
          <w:rFonts w:cs="Arial"/>
          <w:bCs/>
        </w:rPr>
        <w:t>With the maximum funding contribution and final delivery timescales set within the grant agreement, hitting the deadlines and remaining within budget are the key risks at programme level. Both Cottam Parkway and Transforming Ringway design teams are aware of the need to design to budget and to apply value engineering or scope modifications. On Cottam Parkway, Cabinet agreed in January to an additional financial contribution of £4.547m from LCC capital as the cost estimates indicated a potential excess over the agreed budget which was beyond the capacity of design changes and value engineering, as well as additional s106 monies identified, to bridge. Scope review and value engineering continues as design progresses and there is further work to be done here with the help of Network Rail, which is now engaged with the project under an asset protection agreement.</w:t>
      </w:r>
    </w:p>
    <w:p w14:paraId="65EBA2BB" w14:textId="77777777" w:rsidR="00381CAD" w:rsidRPr="00381CAD" w:rsidRDefault="00381CAD" w:rsidP="00381CAD">
      <w:pPr>
        <w:spacing w:after="0"/>
        <w:rPr>
          <w:rFonts w:cs="Arial"/>
          <w:bCs/>
        </w:rPr>
      </w:pPr>
    </w:p>
    <w:p w14:paraId="1BCEC038" w14:textId="77777777" w:rsidR="00381CAD" w:rsidRPr="00381CAD" w:rsidRDefault="00381CAD" w:rsidP="00381CAD">
      <w:pPr>
        <w:spacing w:after="0"/>
        <w:rPr>
          <w:rFonts w:cs="Arial"/>
          <w:bCs/>
        </w:rPr>
      </w:pPr>
      <w:r w:rsidRPr="00381CAD">
        <w:rPr>
          <w:rFonts w:cs="Arial"/>
          <w:bCs/>
        </w:rPr>
        <w:t>Current forecasts against the TCF programme are showing a forecast underspend of -£3.750m for 2022/23.</w:t>
      </w:r>
    </w:p>
    <w:p w14:paraId="54AFF819" w14:textId="77777777" w:rsidR="00381CAD" w:rsidRDefault="00381CAD" w:rsidP="003B7520">
      <w:pPr>
        <w:pStyle w:val="Figurecaption"/>
      </w:pPr>
    </w:p>
    <w:p w14:paraId="06BA64B2" w14:textId="7C046E43" w:rsidR="00BB31E2" w:rsidRPr="003B7520" w:rsidRDefault="00BB31E2" w:rsidP="00A21C4E">
      <w:pPr>
        <w:pStyle w:val="Heading2-numbered"/>
        <w:numPr>
          <w:ilvl w:val="0"/>
          <w:numId w:val="0"/>
        </w:numPr>
      </w:pPr>
    </w:p>
    <w:sectPr w:rsidR="00BB31E2" w:rsidRPr="003B7520" w:rsidSect="00067A19">
      <w:headerReference w:type="default" r:id="rId17"/>
      <w:footerReference w:type="default" r:id="rId18"/>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B46D9" w14:textId="77777777" w:rsidR="00B66578" w:rsidRDefault="00B66578" w:rsidP="00124FDC">
      <w:pPr>
        <w:spacing w:after="0"/>
      </w:pPr>
      <w:r>
        <w:separator/>
      </w:r>
    </w:p>
  </w:endnote>
  <w:endnote w:type="continuationSeparator" w:id="0">
    <w:p w14:paraId="453002D8" w14:textId="77777777" w:rsidR="00B66578" w:rsidRDefault="00B66578"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93A2" w14:textId="77777777" w:rsidR="00381CAD" w:rsidRDefault="0038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E503" w14:textId="1CFE4D74" w:rsidR="009E0556" w:rsidRDefault="00693B16">
    <w:pPr>
      <w:pStyle w:val="Footer"/>
    </w:pPr>
    <w:r>
      <w:rPr>
        <w:noProof/>
      </w:rPr>
      <w:pict w14:anchorId="62EE10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 style="position:absolute;left:0;text-align:left;margin-left:-1in;margin-top:-24pt;width:594.95pt;height:51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3897" w14:textId="5026582D" w:rsidR="00E429E1" w:rsidRDefault="00693B16">
    <w:pPr>
      <w:pStyle w:val="Footer"/>
    </w:pPr>
    <w:r>
      <w:rPr>
        <w:noProof/>
      </w:rPr>
      <w:pict w14:anchorId="6A118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 style="position:absolute;left:0;text-align:left;margin-left:-36pt;margin-top:0;width:594.4pt;height:49.95pt;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236"/>
    </w:tblGrid>
    <w:tr w:rsidR="00DB6FF3" w:rsidRPr="008E5502" w14:paraId="5F2277FC" w14:textId="77777777" w:rsidTr="00085254">
      <w:tc>
        <w:tcPr>
          <w:tcW w:w="5000" w:type="pct"/>
          <w:shd w:val="clear" w:color="auto" w:fill="auto"/>
        </w:tcPr>
        <w:p w14:paraId="11720B26" w14:textId="46F36AC6" w:rsidR="00DB6FF3" w:rsidRPr="008E5502" w:rsidRDefault="00C85B55"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4861EDD1" w14:textId="03540BBE" w:rsidR="00DB6FF3" w:rsidRDefault="00693B16" w:rsidP="008E5502">
    <w:pPr>
      <w:pStyle w:val="anchor"/>
    </w:pPr>
    <w:r>
      <w:rPr>
        <w:noProof/>
      </w:rPr>
      <w:pict w14:anchorId="2EB23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1in;margin-top:-22.05pt;width:594.95pt;height:51pt;z-index:-2516567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042" w14:textId="77777777" w:rsidR="00B66578" w:rsidRDefault="00B66578" w:rsidP="00124FDC">
      <w:pPr>
        <w:spacing w:after="0"/>
      </w:pPr>
      <w:r>
        <w:separator/>
      </w:r>
    </w:p>
  </w:footnote>
  <w:footnote w:type="continuationSeparator" w:id="0">
    <w:p w14:paraId="4C9D9D8C" w14:textId="77777777" w:rsidR="00B66578" w:rsidRDefault="00B66578" w:rsidP="00124F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E9B9" w14:textId="77777777" w:rsidR="00381CAD" w:rsidRDefault="0038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24B" w14:textId="6083F63E" w:rsidR="00462EE6" w:rsidRDefault="00693B16">
    <w:pPr>
      <w:pStyle w:val="Header"/>
    </w:pPr>
    <w:r>
      <w:rPr>
        <w:noProof/>
      </w:rPr>
      <w:pict w14:anchorId="418A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A picture containing icon&#10;&#10;&#10;&#10;&#10;&#10;&#10;&#10;&#10;&#10;&#10;&#10;&#10;&#10;&#10;&#10;&#10;&#10;Description automatically generated" style="position:absolute;left:0;text-align:left;margin-left:-1in;margin-top:-13.05pt;width:594.95pt;height:137pt;z-index:-2516587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icon&#10;&#10;&#10;&#10;&#10;&#10;&#10;&#10;&#10;&#10;&#10;&#10;&#10;&#10;&#10;&#10;&#10;&#10;Description automatically generat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B563" w14:textId="60ADF2E8" w:rsidR="00250C1A" w:rsidRDefault="00693B16">
    <w:pPr>
      <w:pStyle w:val="Header"/>
    </w:pPr>
    <w:r>
      <w:rPr>
        <w:noProof/>
      </w:rPr>
      <w:pict w14:anchorId="0C4C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imeline&#10;&#10;&#10;&#10;&#10;&#10;&#10;&#10;&#10;&#10;&#10;&#10;&#10;&#10;&#10;&#10;&#10;&#10;Description automatically generated" style="position:absolute;left:0;text-align:left;margin-left:-36pt;margin-top:-35.05pt;width:595pt;height:274pt;z-index:-25166080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imeline&#10;&#10;&#10;&#10;&#10;&#10;&#10;&#10;&#10;&#10;&#10;&#10;&#10;&#10;&#10;&#10;&#10;&#10;Description automatically generat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shd w:val="clear" w:color="auto" w:fill="2C5A77"/>
      <w:tblLook w:val="04A0" w:firstRow="1" w:lastRow="0" w:firstColumn="1" w:lastColumn="0" w:noHBand="0" w:noVBand="1"/>
    </w:tblPr>
    <w:tblGrid>
      <w:gridCol w:w="10676"/>
    </w:tblGrid>
    <w:tr w:rsidR="00DB6FF3" w14:paraId="25CF8D2A" w14:textId="77777777" w:rsidTr="0021654A">
      <w:trPr>
        <w:jc w:val="center"/>
      </w:trPr>
      <w:tc>
        <w:tcPr>
          <w:tcW w:w="5000" w:type="pct"/>
          <w:shd w:val="clear" w:color="auto" w:fill="2C5A77"/>
          <w:vAlign w:val="center"/>
        </w:tcPr>
        <w:p w14:paraId="746019ED" w14:textId="5AE49680" w:rsidR="00DB6FF3" w:rsidRPr="00C74127" w:rsidRDefault="00381CAD" w:rsidP="00E50314">
          <w:pPr>
            <w:pStyle w:val="Header"/>
            <w:jc w:val="left"/>
          </w:pPr>
          <w:r>
            <w:t>Money Matters Quarter 2 – Appendix C</w:t>
          </w:r>
        </w:p>
      </w:tc>
    </w:tr>
  </w:tbl>
  <w:p w14:paraId="266745AC" w14:textId="70934B06" w:rsidR="00DB6FF3" w:rsidRDefault="00693B16" w:rsidP="008E5502">
    <w:pPr>
      <w:pStyle w:val="anchor"/>
    </w:pPr>
    <w:r>
      <w:rPr>
        <w:noProof/>
      </w:rPr>
      <w:pict w14:anchorId="05A6F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ckground pattern&#10;&#10;&#10;&#10;&#10;&#10;&#10;&#10;&#10;&#10;&#10;&#10;&#10;&#10;&#10;&#10;&#10;&#10;&#10;&#10;&#10;&#10;&#10;&#10;Description automatically generated with medium confidence" style="width:450.85pt;height:636.9pt;visibility:visible;mso-wrap-style:square;mso-width-percent:0;mso-height-percent:0;mso-width-percent:0;mso-height-percent:0">
          <v:imagedata r:id="rId1" o:title="Background pattern&#10;&#10;&#10;&#10;&#10;&#10;&#10;&#10;&#10;&#10;&#10;&#10;&#10;&#10;&#10;&#10;&#10;&#10;&#10;&#10;&#10;&#10;&#10;&#10;Description automatically generated with medium confid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36504891"/>
    <w:multiLevelType w:val="hybridMultilevel"/>
    <w:tmpl w:val="194A95C2"/>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9E37F6"/>
    <w:multiLevelType w:val="hybridMultilevel"/>
    <w:tmpl w:val="DE04D486"/>
    <w:lvl w:ilvl="0" w:tplc="7832B046">
      <w:start w:val="1"/>
      <w:numFmt w:val="decimal"/>
      <w:lvlText w:val="%1."/>
      <w:lvlJc w:val="left"/>
      <w:pPr>
        <w:ind w:left="360" w:hanging="360"/>
      </w:pPr>
      <w:rPr>
        <w:rFonts w:hint="default"/>
      </w:rPr>
    </w:lvl>
    <w:lvl w:ilvl="1" w:tplc="FD7ABD9A" w:tentative="1">
      <w:start w:val="1"/>
      <w:numFmt w:val="lowerLetter"/>
      <w:lvlText w:val="%2."/>
      <w:lvlJc w:val="left"/>
      <w:pPr>
        <w:ind w:left="1080" w:hanging="360"/>
      </w:pPr>
    </w:lvl>
    <w:lvl w:ilvl="2" w:tplc="39409BA0" w:tentative="1">
      <w:start w:val="1"/>
      <w:numFmt w:val="lowerRoman"/>
      <w:lvlText w:val="%3."/>
      <w:lvlJc w:val="right"/>
      <w:pPr>
        <w:ind w:left="1800" w:hanging="180"/>
      </w:pPr>
    </w:lvl>
    <w:lvl w:ilvl="3" w:tplc="F252CDEA" w:tentative="1">
      <w:start w:val="1"/>
      <w:numFmt w:val="decimal"/>
      <w:lvlText w:val="%4."/>
      <w:lvlJc w:val="left"/>
      <w:pPr>
        <w:ind w:left="2520" w:hanging="360"/>
      </w:pPr>
    </w:lvl>
    <w:lvl w:ilvl="4" w:tplc="0CCE9E96" w:tentative="1">
      <w:start w:val="1"/>
      <w:numFmt w:val="lowerLetter"/>
      <w:lvlText w:val="%5."/>
      <w:lvlJc w:val="left"/>
      <w:pPr>
        <w:ind w:left="3240" w:hanging="360"/>
      </w:pPr>
    </w:lvl>
    <w:lvl w:ilvl="5" w:tplc="62888134" w:tentative="1">
      <w:start w:val="1"/>
      <w:numFmt w:val="lowerRoman"/>
      <w:lvlText w:val="%6."/>
      <w:lvlJc w:val="right"/>
      <w:pPr>
        <w:ind w:left="3960" w:hanging="180"/>
      </w:pPr>
    </w:lvl>
    <w:lvl w:ilvl="6" w:tplc="490CE39E" w:tentative="1">
      <w:start w:val="1"/>
      <w:numFmt w:val="decimal"/>
      <w:lvlText w:val="%7."/>
      <w:lvlJc w:val="left"/>
      <w:pPr>
        <w:ind w:left="4680" w:hanging="360"/>
      </w:pPr>
    </w:lvl>
    <w:lvl w:ilvl="7" w:tplc="B88A1E8E" w:tentative="1">
      <w:start w:val="1"/>
      <w:numFmt w:val="lowerLetter"/>
      <w:lvlText w:val="%8."/>
      <w:lvlJc w:val="left"/>
      <w:pPr>
        <w:ind w:left="5400" w:hanging="360"/>
      </w:pPr>
    </w:lvl>
    <w:lvl w:ilvl="8" w:tplc="7E3642E8" w:tentative="1">
      <w:start w:val="1"/>
      <w:numFmt w:val="lowerRoman"/>
      <w:lvlText w:val="%9."/>
      <w:lvlJc w:val="right"/>
      <w:pPr>
        <w:ind w:left="6120" w:hanging="180"/>
      </w:pPr>
    </w:lvl>
  </w:abstractNum>
  <w:abstractNum w:abstractNumId="4"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pStyle w:val="Heading3-numbered"/>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98"/>
    <w:rsid w:val="00000CB1"/>
    <w:rsid w:val="00002B14"/>
    <w:rsid w:val="0001341B"/>
    <w:rsid w:val="0002009B"/>
    <w:rsid w:val="000352B1"/>
    <w:rsid w:val="0004609F"/>
    <w:rsid w:val="00054C03"/>
    <w:rsid w:val="000633C8"/>
    <w:rsid w:val="00067A19"/>
    <w:rsid w:val="000701AB"/>
    <w:rsid w:val="0007606B"/>
    <w:rsid w:val="0008360D"/>
    <w:rsid w:val="00085254"/>
    <w:rsid w:val="00090E6F"/>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1CAD"/>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5B6"/>
    <w:rsid w:val="004146E2"/>
    <w:rsid w:val="00424E57"/>
    <w:rsid w:val="0042503D"/>
    <w:rsid w:val="004409F6"/>
    <w:rsid w:val="00441D70"/>
    <w:rsid w:val="00442270"/>
    <w:rsid w:val="00451CE6"/>
    <w:rsid w:val="004533FD"/>
    <w:rsid w:val="00462EE6"/>
    <w:rsid w:val="0047250F"/>
    <w:rsid w:val="00472A0F"/>
    <w:rsid w:val="00487350"/>
    <w:rsid w:val="004A4F18"/>
    <w:rsid w:val="004B573E"/>
    <w:rsid w:val="004C22BB"/>
    <w:rsid w:val="004C2626"/>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762"/>
    <w:rsid w:val="00684B24"/>
    <w:rsid w:val="00693B16"/>
    <w:rsid w:val="00695F65"/>
    <w:rsid w:val="006A7810"/>
    <w:rsid w:val="006B1F53"/>
    <w:rsid w:val="006C210D"/>
    <w:rsid w:val="006C4F7E"/>
    <w:rsid w:val="006D7BB1"/>
    <w:rsid w:val="006E06B1"/>
    <w:rsid w:val="006E349B"/>
    <w:rsid w:val="006F4002"/>
    <w:rsid w:val="00716937"/>
    <w:rsid w:val="00717052"/>
    <w:rsid w:val="00730B2B"/>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21D17"/>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41A5"/>
    <w:rsid w:val="00BA0BBC"/>
    <w:rsid w:val="00BA613A"/>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757F1"/>
    <w:rsid w:val="00F8203E"/>
    <w:rsid w:val="00FB057B"/>
    <w:rsid w:val="00FB7FFB"/>
    <w:rsid w:val="00FC2752"/>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334EE1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styleId="UnresolvedMention">
    <w:name w:val="Unresolved Mention"/>
    <w:uiPriority w:val="99"/>
    <w:semiHidden/>
    <w:unhideWhenUsed/>
    <w:rsid w:val="00CE7E1A"/>
    <w:rPr>
      <w:color w:val="605E5C"/>
      <w:shd w:val="clear" w:color="auto" w:fill="E1DFDD"/>
    </w:rPr>
  </w:style>
  <w:style w:type="table" w:customStyle="1" w:styleId="TableGrid1">
    <w:name w:val="Table Grid1"/>
    <w:basedOn w:val="TableNormal"/>
    <w:next w:val="TableGrid"/>
    <w:uiPriority w:val="39"/>
    <w:rsid w:val="00381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12" ma:contentTypeDescription="Create a new document." ma:contentTypeScope="" ma:versionID="d19fef8e8c1362dbdbea62fe252bfaf4">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802a8392a35e0ff53663c7d64a059de6"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B7D97-B410-4C2C-B7AB-8B295D77A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C4ED20-27AE-4916-BBDA-BFA4F356A990}">
  <ds:schemaRefs>
    <ds:schemaRef ds:uri="http://schemas.microsoft.com/sharepoint/v3/contenttype/forms"/>
  </ds:schemaRefs>
</ds:datastoreItem>
</file>

<file path=customXml/itemProps3.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customXml/itemProps4.xml><?xml version="1.0" encoding="utf-8"?>
<ds:datastoreItem xmlns:ds="http://schemas.openxmlformats.org/officeDocument/2006/customXml" ds:itemID="{AE6DFD0B-33B5-4144-A9B3-64A2FD1627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TotalTime>
  <Pages>16</Pages>
  <Words>4859</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32497</CharactersWithSpaces>
  <SharedDoc>false</SharedDoc>
  <HLinks>
    <vt:vector size="6" baseType="variant">
      <vt:variant>
        <vt:i4>262208</vt:i4>
      </vt:variant>
      <vt:variant>
        <vt:i4>0</vt:i4>
      </vt:variant>
      <vt:variant>
        <vt:i4>0</vt:i4>
      </vt:variant>
      <vt:variant>
        <vt:i4>5</vt:i4>
      </vt:variant>
      <vt:variant>
        <vt:lpwstr>http://intranet.ad.lancscc.net/how-do-i/communications/using-the-county-council-logo/?page=1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Marie</dc:creator>
  <cp:keywords/>
  <cp:lastModifiedBy>Alker, Craig</cp:lastModifiedBy>
  <cp:revision>3</cp:revision>
  <cp:lastPrinted>2022-08-16T14:56:00Z</cp:lastPrinted>
  <dcterms:created xsi:type="dcterms:W3CDTF">2022-11-18T15:37:00Z</dcterms:created>
  <dcterms:modified xsi:type="dcterms:W3CDTF">2022-11-21T10:30:00Z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